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VIK 100 % priklauso valstybei, obligacijų programai Fitch suteikė A+ reitingą, susietą su valstybės garantija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pelnas 7,1 mln. EUR, nuosavo kapitalo dalis 70 % (apskaičiuota įrankio)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Turtas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169,4 mln. EUR</w:t>
            </w:r>
          </w:p>
          <w:p>
            <w:r>
              <w:rPr>
                <w:color w:val="5F6B7A"/>
                <w:sz w:val="16"/>
              </w:rPr>
              <w:t>▼ 7,4 %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118,9 mln. EUR</w:t>
            </w:r>
          </w:p>
          <w:p>
            <w:r>
              <w:rPr>
                <w:color w:val="5F6B7A"/>
                <w:sz w:val="16"/>
              </w:rPr>
              <w:t>▲ 10,2 %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70,1 %</w:t>
            </w:r>
          </w:p>
          <w:p>
            <w:r>
              <w:rPr>
                <w:color w:val="5F6B7A"/>
                <w:sz w:val="16"/>
              </w:rPr>
              <w:t>▲ 11,1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7,13 mln. EUR</w:t>
            </w:r>
          </w:p>
          <w:p>
            <w:r>
              <w:rPr>
                <w:color w:val="5F6B7A"/>
                <w:sz w:val="16"/>
              </w:rPr>
              <w:t>▲ 9 012,5 %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9 012,5 %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2025 m. VIK įsigijo 49 % EPSO-G Invest (36,3 mln. EUR), kuri valdo 48 % Rheinmetall Defence Lietuva; gamyklos statyba pradėta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 m. pasirašytas memorandumas su Rheinmetall Landsysteme ir KNDS Deutschland dėl ~50 mln. EUR techninės priežiūros centro Kauno LEZ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2026-02 akcininkas nusprendė perduoti VIK akcijas valstybės valdomai ILTE (reikia Vyriausybės pritarimo)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pelnas 3,8 mln. EUR (2024 m. – 8,1 mln.); išleistų obligacijų likutis 2026-06-30 – apie 50,6 mln. EUR (apskaičiuota įrankio)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Grąžinta 120,5 mln. EUR (60 %)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investuota 36 mln. EUR; statyba vyksta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finansuojama ir 25 mln. EUR gynybos obligacijomis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Kontroversiškų ar branduolinių ginklų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investuoja į įprastinę gynybos pramonę (Rheinmetall amunicijos gamykla Lietuvoje)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ginklų ir gynybos politika riboja tik kontroversiškus ginklus, branduolinius ginklus ne NATO šalyse, civilinius pusiau automatinius ginklus ir nelicencijuotą prekybą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nurodo, kad tvarumas nėra pagrindinis jos tikslas – prioritetas yra gynyba ir saugumas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ar taksonomijos tikslų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Žalieji pirkimai per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Taikomas Nasdaq Vilnius 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ginklų bei gynybos politika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Investicijos į licencijuotą gynybos gamybą NATO šalyje, be kontroversiškų ar branduolinių ginklų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politikos viešai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įmonė su aiškiu gynybos mandatu.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Nuosavų patalpų ir turto VIK neturi, todėl tiesioginis poveikis aplinkai nedidelis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Fondui svarbiausias PAI rodiklis – ginklų sektoriaus poveikis: tik įprastiniai ginklai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Investuoja į įprastinę gynybos pramonę (leidžiama pagal SEB politiką); tvarumas nėra prioritetas.</w:t>
      </w:r>
    </w:p>
    <w:p>
      <w:r>
        <w:rPr>
          <w:i/>
          <w:color w:val="5F6B7A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