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40"/>
              </w:rPr>
              <w:t>Atsinaujinančios energetikos investicijos (AEI)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 in the reports)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Sąlygų (kovenantų) 2026-06-30 laikomasi, nuosavo kapitalo dalis 54,5 % (riba – 50 %)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-5,13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54,5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63,5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Įrengta žalioji galia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317,9</w:t>
            </w:r>
            <w:r>
              <w:rPr>
                <w:b w:val="0"/>
                <w:color w:val="5F6B7A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1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apskaičiuota įrankio), svertas ≤75 %, minimalus likvidumas 1,5 mln. EUR; 2026-06-30 laikomasi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LT), 2026-07-24 – 2026-10-22: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Atsinaujinančios energetikos investicijos (AEI)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Atsinaujinančios energetikos investicijos (AEI)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Atsinaujinančios energetikos investicijos (AEI)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ei/2026_q2_en_con_esef.pdf#page=32" TargetMode="External"/><Relationship Id="rId13" Type="http://schemas.openxmlformats.org/officeDocument/2006/relationships/hyperlink" Target="https://nasdaqbaltic.com/market/upload/reports/aei/2026_q2_en_con_esef.pdf#page=21" TargetMode="External"/><Relationship Id="rId14" Type="http://schemas.openxmlformats.org/officeDocument/2006/relationships/hyperlink" Target="https://nasdaqbaltic.com/market/upload/reports/aei/2026_q2_en_con_esef.pdf#page=24" TargetMode="External"/><Relationship Id="rId15" Type="http://schemas.openxmlformats.org/officeDocument/2006/relationships/hyperlink" Target="https://nasdaqbaltic.com/market/upload/reports/aei/2026_q2_en.pdf#page=1" TargetMode="External"/><Relationship Id="rId16" Type="http://schemas.openxmlformats.org/officeDocument/2006/relationships/hyperlink" Target="https://nasdaqbaltic.com/market/upload/reports/aei/2026_q2_en_con_esef.pdf#page=4" TargetMode="External"/><Relationship Id="rId17" Type="http://schemas.openxmlformats.org/officeDocument/2006/relationships/hyperlink" Target="https://nasdaqbaltic.com/market/upload/reports/aei/2025_q4_en_con.pdf#page=4" TargetMode="External"/><Relationship Id="rId18" Type="http://schemas.openxmlformats.org/officeDocument/2006/relationships/hyperlink" Target="https://nasdaqbaltic.com/market/upload/reports/aei/2026_q2_en_con_esef.pdf#page=19" TargetMode="External"/><Relationship Id="rId19" Type="http://schemas.openxmlformats.org/officeDocument/2006/relationships/hyperlink" Target="https://nasdaqbaltic.com/market/upload/reports/aei/2025_q4_en_con.pdf#page=24" TargetMode="External"/><Relationship Id="rId20" Type="http://schemas.openxmlformats.org/officeDocument/2006/relationships/hyperlink" Target="https://nasdaqbaltic.com/market/upload/reports/aei/2025_q4_en_con.pdf#page=3" TargetMode="External"/><Relationship Id="rId21" Type="http://schemas.openxmlformats.org/officeDocument/2006/relationships/hyperlink" Target="https://nasdaqbaltic.com/market/upload/reports/aei/2026_q2_en_con_esef.pdf#page=3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nasdaqbaltic.com/market/upload/reports/aei/2026_q2_en_con_esef.pdf#page=9" TargetMode="External"/><Relationship Id="rId24" Type="http://schemas.openxmlformats.org/officeDocument/2006/relationships/hyperlink" Target="https://nasdaqbaltic.com/market/upload/reports/aei/2026_q2_en_con_esef.pdf#page=17" TargetMode="External"/><Relationship Id="rId25" Type="http://schemas.openxmlformats.org/officeDocument/2006/relationships/hyperlink" Target="https://nasdaqbaltic.com/market/upload/reports/aei/2026_q2_en_con_esef.pdf#page=33" TargetMode="External"/><Relationship Id="rId26" Type="http://schemas.openxmlformats.org/officeDocument/2006/relationships/hyperlink" Target="https://nasdaqbaltic.com/market/upload/reports/aei/2025_q4_en_con.pdf#page=17" TargetMode="External"/><Relationship Id="rId27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2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