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60" w:type="dxa"/>
          <w:left w:w="280" w:type="dxa"/>
          <w:bottom w:w="260" w:type="dxa"/>
          <w:right w:w="28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  <w:shd w:val="clear" w:color="auto" w:fill="1F4E79"/>
          </w:tcPr>
          <w:p>
            <w:pPr>
              <w:spacing w:before="0" w:after="0"/>
            </w:pPr>
            <w:r>
              <w:rPr>
                <w:b/>
                <w:caps/>
                <w:color w:val="AFC6DD"/>
                <w:sz w:val="17"/>
              </w:rPr>
              <w:t>Emitento apžvalga · 6M2026</w:t>
            </w:r>
          </w:p>
          <w:p>
            <w:pPr>
              <w:spacing w:before="40" w:after="0"/>
            </w:pPr>
            <w:r>
              <w:rPr>
                <w:b/>
                <w:color w:val="FFFFFF"/>
                <w:sz w:val="52"/>
              </w:rPr>
              <w:t>Akropolis Group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280" w:after="0"/>
              <w:jc w:val="right"/>
            </w:pPr>
            <w:r>
              <w:rPr>
                <w:b/>
                <w:color w:val="1B7F3B"/>
                <w:sz w:val="19"/>
                <w:shd w:val="clear" w:color="auto" w:fill="E3F3E8"/>
              </w:rPr>
              <w:t xml:space="preserve">  ●  TVARKINGA  </w:t>
            </w:r>
          </w:p>
        </w:tc>
      </w:tr>
    </w:tbl>
    <w:p>
      <w:pPr>
        <w:pBdr>
          <w:top w:val="single" w:sz="12" w:color="2A78D6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2026-10-22</w:t>
            </w:r>
          </w:p>
        </w:tc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Reitingas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S&amp;P BB+ stable (affirmed 2025-12-15); Fitch BB+ stable (affirmed 2026-07-13)</w:t>
            </w:r>
            <w:hyperlink r:id="rId12">
              <w:r>
                <w:rPr>
                  <w:color w:val="2A78D6"/>
                  <w:vertAlign w:val="superscript"/>
                  <w:sz w:val="16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6"/>
                </w:rPr>
                <w:t xml:space="preserve">2</w:t>
              </w:r>
            </w:hyperlink>
          </w:p>
        </w:tc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9M 2026 results - expected November 2026</w:t>
            </w:r>
          </w:p>
        </w:tc>
      </w:tr>
    </w:tbl>
    <w:p>
      <w:pPr>
        <w:spacing w:before="0" w:after="8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A1A1A"/>
                <w:sz w:val="21"/>
              </w:rPr>
              <w:t>Pozicija tvarkinga.</w:t>
            </w:r>
            <w:r>
              <w:rPr>
                <w:b w:val="0"/>
                <w:color w:val="1A1A1A"/>
                <w:sz w:val="21"/>
              </w:rPr>
              <w:t xml:space="preserve"> Akropolis – prekybos centrų Lietuvoje ir Latvijoje valdytojas, S&amp;P ir Fitch BB+ (stabili)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A1A1A"/>
                <w:sz w:val="21"/>
              </w:rPr>
              <w:t>. Užimtumas 99,2 %, obligacijų kovenantų laikomasi su atsarga: svertas 46 % (riba 60 %), padengimas 3,3 karto (riba 2)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A1A1A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EBITDA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56,6</w:t>
            </w:r>
            <w:r>
              <w:rPr>
                <w:b w:val="0"/>
                <w:color w:val="5F6B7A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▲ 27,8 %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Grynasis pelnas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37,0</w:t>
            </w:r>
            <w:r>
              <w:rPr>
                <w:b w:val="0"/>
                <w:color w:val="5F6B7A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▲ 21,3 %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Grynasis LTV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41,7</w:t>
            </w:r>
            <w:r>
              <w:rPr>
                <w:b w:val="0"/>
                <w:color w:val="5F6B7A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▲ 4,7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EBITDA / palūkanos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3,3</w:t>
            </w:r>
            <w:r>
              <w:rPr>
                <w:b w:val="0"/>
                <w:color w:val="5F6B7A"/>
                <w:sz w:val="18"/>
              </w:rPr>
              <w:t xml:space="preserve"> x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 xml:space="preserve"> 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F4E79"/>
          <w:sz w:val="28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Augimas dėl Galio Group:</w:t>
      </w:r>
      <w:r>
        <w:rPr>
          <w:b w:val="0"/>
        </w:rPr>
        <w:t xml:space="preserve"> I pusm. pajamos 81,6 mln. EUR (63,3 mln.), EBITDA 56,6 mln. EUR (44,3 mln.), pelnas 37,0 mln. EUR (30,5 mln.); Galio konsoliduojama nuo 2025-10-01, todėl palyginimas su 2025 m. ne visai tiesioginis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Stipri veikla:</w:t>
      </w:r>
      <w:r>
        <w:rPr>
          <w:b w:val="0"/>
        </w:rPr>
        <w:t xml:space="preserve"> užimtumas 99,2 %, nuomininkų apyvarta 604 mln. EUR (+8,1 %), lankytojų 117 tūkst. per dieną</w:t>
      </w:r>
      <w:hyperlink r:id="rId14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Svertas paaugo:</w:t>
      </w:r>
      <w:r>
        <w:rPr>
          <w:b w:val="0"/>
        </w:rPr>
        <w:t xml:space="preserve"> grynasis LTV 41,7 % (2025 m. pab. 37,0 %), grynoji skola 584,6 mln. EUR; pusmetį išmokėta 90 mln. EUR dividendų</w:t>
      </w:r>
      <w:hyperlink r:id="rId16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color w:val="2A78D6"/>
          <w:vertAlign w:val="superscript"/>
        </w:rPr>
        <w:t>,</w:t>
      </w:r>
      <w:hyperlink r:id="rId17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Reitingai stabilūs:</w:t>
      </w:r>
      <w:r>
        <w:rPr>
          <w:b w:val="0"/>
        </w:rPr>
        <w:t xml:space="preserve"> Fitch BB+ patvirtintas 2026-07-13, S&amp;P BB+ – 2025-12-15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color w:val="2A78D6"/>
          <w:vertAlign w:val="superscript"/>
        </w:rPr>
        <w:t>,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F4E79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701"/>
        <w:gridCol w:w="2608"/>
        <w:gridCol w:w="963"/>
        <w:gridCol w:w="1304"/>
        <w:gridCol w:w="3061"/>
      </w:tblGrid>
      <w:tr>
        <w:tc>
          <w:tcPr>
            <w:tcW w:type="dxa" w:w="170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ISIN</w:t>
            </w:r>
          </w:p>
        </w:tc>
        <w:tc>
          <w:tcPr>
            <w:tcW w:type="dxa" w:w="260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Priemonė</w:t>
            </w:r>
          </w:p>
        </w:tc>
        <w:tc>
          <w:tcPr>
            <w:tcW w:type="dxa" w:w="964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Kuponas</w:t>
            </w:r>
          </w:p>
        </w:tc>
        <w:tc>
          <w:tcPr>
            <w:tcW w:type="dxa" w:w="1304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Išpirkimas</w:t>
            </w:r>
          </w:p>
        </w:tc>
        <w:tc>
          <w:tcPr>
            <w:tcW w:type="dxa" w:w="306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Pastaba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XS3046302488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Akropolis Group 6.000% green notes 2030</w:t>
            </w:r>
          </w:p>
        </w:tc>
        <w:tc>
          <w:tcPr>
            <w:tcW w:type="dxa" w:w="9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6,0 %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2030-05-15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unsecured; par call from 2030-02-15, make-whole before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F4E79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254"/>
        <w:gridCol w:w="1314"/>
        <w:gridCol w:w="1314"/>
        <w:gridCol w:w="1314"/>
        <w:gridCol w:w="2441"/>
      </w:tblGrid>
      <w:tr>
        <w:tc>
          <w:tcPr>
            <w:tcW w:type="dxa" w:w="3254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Rodiklis</w:t>
            </w:r>
          </w:p>
        </w:tc>
        <w:tc>
          <w:tcPr>
            <w:tcW w:type="dxa" w:w="1314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FY2024</w:t>
            </w:r>
          </w:p>
        </w:tc>
        <w:tc>
          <w:tcPr>
            <w:tcW w:type="dxa" w:w="1314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FY2025</w:t>
            </w:r>
          </w:p>
        </w:tc>
        <w:tc>
          <w:tcPr>
            <w:tcW w:type="dxa" w:w="1314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6M2026</w:t>
            </w:r>
          </w:p>
        </w:tc>
        <w:tc>
          <w:tcPr>
            <w:tcW w:type="dxa" w:w="244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Pokytis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Pajamos,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124,9*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140,0*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81,6*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28,9 %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87,8*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98,3*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56,6*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27,8 %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61,6*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88,1*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37,0*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21,3 %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Turtas,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1 300,4*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1 714,3*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1 616,6*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5,7 % vs FY2025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Nuosavas kapitalas,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710,5*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799,6*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746,6*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0,8 %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skola, mln. EUR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527,5*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584,6*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10,8 % vs FY2025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skola / EBITDA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6,2x*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5,3x*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0,9x vs FY2025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LTV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37,0 %*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41,7 %*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4,7 p. p. vs FY2025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 / palūkanos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3,3x*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5F6B7A"/>
          <w:sz w:val="16"/>
        </w:rPr>
        <w:t>Spalvos: žalias pokytis – rodiklis gerėja, raudonas – blogėja. Paskutinio laikotarpio langelio fonas: žalias – geras lygis, geltonas – vidutinis, raudonas – silpnas (įrankio orientyrai, config/metric_rules.yaml).</w:t>
      </w:r>
    </w:p>
    <w:p>
      <w:pPr>
        <w:spacing w:before="40" w:after="60"/>
      </w:pPr>
      <w:r>
        <w:rPr>
          <w:b w:val="0"/>
          <w:color w:val="5F6B7A"/>
          <w:sz w:val="16"/>
        </w:rPr>
        <w:t>* – paimta iš ataskaitos santraukos;  ᶜ – apskaičiuota įrankio.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kropolis_l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F4E79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5 prekybos centrai (Vilnius, Klaipėda, Šiauliai, Akropole Ryga, Akropole Alfa) ir Galio Group – iš viso 55 pajamas duodantys objektai; turto vertė 61 % Lietuvoje, 36 % Latvijoje, 3 % Estijoje</w:t>
      </w:r>
      <w:hyperlink r:id="rId24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color w:val="2A78D6"/>
          <w:vertAlign w:val="superscript"/>
        </w:rPr>
        <w:t>,</w:t>
      </w:r>
      <w:hyperlink r:id="rId25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Plėtra:</w:t>
      </w:r>
      <w:r>
        <w:rPr>
          <w:b w:val="0"/>
        </w:rPr>
        <w:t xml:space="preserve"> Klaipėdoje baigtas naujas 3 500 kv. m pastatas (6 mln. EUR), Galio projektai Cityzen (48 mln. EUR) ir Remarco (&gt;40 mln. EUR); Akropolis Vingis – gautas leidimas, finansavimo sprendimas svarstomas</w:t>
      </w:r>
      <w:hyperlink r:id="rId26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color w:val="2A78D6"/>
          <w:vertAlign w:val="superscript"/>
        </w:rPr>
        <w:t>,</w:t>
      </w:r>
      <w:hyperlink r:id="rId27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F4E79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pajamos 140,0 mln. EUR (124,9 mln.), EBITDA 98,3 mln. EUR (87,8 mln.), pelnas 88,1 mln. EUR (61,6 mln.); portfelio vertė 1 424 mln. EUR</w:t>
      </w:r>
      <w:hyperlink r:id="rId18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2026-06-30 skolos 691,7 mln. EUR, pinigai 107,1 mln. EUR; vidutinė skolos kaina 4,8 %, vidutinė trukmė 3,3 m.</w:t>
      </w:r>
      <w:hyperlink r:id="rId20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F4E79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Planas / tikslas</w:t>
            </w:r>
          </w:p>
        </w:tc>
        <w:tc>
          <w:tcPr>
            <w:tcW w:type="dxa" w:w="257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Rezultatas</w:t>
            </w:r>
          </w:p>
        </w:tc>
        <w:tc>
          <w:tcPr>
            <w:tcW w:type="dxa" w:w="313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Kas pasikeitė ir kodėl</w:t>
            </w:r>
          </w:p>
        </w:tc>
        <w:tc>
          <w:tcPr>
            <w:tcW w:type="dxa" w:w="1345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Refinansuoti 300 mln. EUR 2,875 % obligacijas (2026)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Išpirktos 2025 m., išleidus 350 mln. EUR 6 % obligacijas</w:t>
            </w:r>
            <w:hyperlink r:id="rId28">
              <w:r>
                <w:rPr>
                  <w:color w:val="2A78D6"/>
                  <w:vertAlign w:val="superscript"/>
                  <w:sz w:val="14"/>
                </w:rPr>
                <w:t xml:space="preserve">20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9">
              <w:r>
                <w:rPr>
                  <w:color w:val="2A78D6"/>
                  <w:vertAlign w:val="superscript"/>
                  <w:sz w:val="14"/>
                </w:rPr>
                <w:t xml:space="preserve">21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Įvykdyta</w:t>
            </w:r>
            <w:hyperlink r:id="rId28">
              <w:r>
                <w:rPr>
                  <w:color w:val="2A78D6"/>
                  <w:vertAlign w:val="superscript"/>
                  <w:sz w:val="14"/>
                </w:rPr>
                <w:t xml:space="preserve">20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Paskirstyti 350 mln. EUR žaliųjų obligacijų lėšas tinkamiems žaliems pastatams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Paskirstyta visa suma (2026 m.)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Įvykdyta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Akropolis Vingis plėtra Vilniuje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Leidimas gautas, finansavimo sprendimas svarstomas</w:t>
            </w:r>
            <w:hyperlink r:id="rId27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Sprendimas dar nepriimtas</w:t>
            </w:r>
            <w:hyperlink r:id="rId27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F4E79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Turima priemonė:</w:t>
      </w:r>
      <w:r>
        <w:rPr>
          <w:b w:val="0"/>
        </w:rPr>
        <w:t xml:space="preserve"> 6,000 % žaliosios obligacijos, 350 mln. EUR, išleistos 2025-05-15, išpirkimas 2030-05-15; neužtikrintos, nesubordinuotos, su įkeitimo draudimu; Euronext Dublin ir Nasdaq Vilnius</w:t>
      </w:r>
      <w:hyperlink r:id="rId30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Išpirkimas anksčiau:</w:t>
      </w:r>
      <w:r>
        <w:rPr>
          <w:b w:val="0"/>
        </w:rPr>
        <w:t xml:space="preserve"> iki 2030-02-15 – tik su visa kompensacija (make-whole), nuo 2030-02-15 – už nominalią vertę; kontrolės pasikeitimo atveju – teisė parduoti už 101 %</w:t>
      </w:r>
      <w:hyperlink r:id="rId29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Kovenantai (2026-06-30):</w:t>
      </w:r>
      <w:r>
        <w:rPr>
          <w:b w:val="0"/>
        </w:rPr>
        <w:t xml:space="preserve"> konsoliduotas svertas 46 % (&lt;60 %), užtikrintas svertas 21 % (&lt;40 %), padengimas 3,3 karto (&gt;2), neįkeistas turtas / neužtikrinta skola 194 % (&gt;125 %) – laikomasi</w:t>
      </w:r>
      <w:hyperlink r:id="rId22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 Bankams įkeista 770,9 mln. EUR turto, todėl obligacijos faktiškai žemiau užtikrintų paskolų</w:t>
      </w:r>
      <w:hyperlink r:id="rId31">
        <w:r>
          <w:rPr>
            <w:color w:val="2A78D6"/>
            <w:vertAlign w:val="superscript"/>
            <w:sz w:val="17"/>
          </w:rPr>
          <w:t xml:space="preserve">24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vidutinė rizika – stiprus turtas ir veikla, svertas kiek padidėjo, kovenantų atsarga didelė.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F4E79"/>
          <w:sz w:val="28"/>
        </w:rPr>
        <w:t>Ką rašo spauda</w:t>
      </w:r>
    </w:p>
    <w:p>
      <w:pPr>
        <w:spacing w:before="40" w:after="60"/>
      </w:pPr>
      <w:r>
        <w:rPr>
          <w:b w:val="0"/>
          <w:color w:val="5F6B7A"/>
          <w:sz w:val="18"/>
        </w:rPr>
        <w:t>Automatinė naujienų paieška (Google News, LT), 2026-07-24 – 2026-10-22: 4 pranešimų.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2026-09-28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4E79"/>
                <w:sz w:val="14"/>
                <w:shd w:val="clear" w:color="auto" w:fill="EAF1F8"/>
              </w:rPr>
              <w:t xml:space="preserve"> REZULTATAI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2">
              <w:r>
                <w:rPr>
                  <w:color w:val="1A1A1A"/>
                  <w:sz w:val="18"/>
                </w:rPr>
                <w:t xml:space="preserve">„Akropolis Group“ šiemet tikisi gerų finansinių rezultatų</w:t>
              </w:r>
            </w:hyperlink>
            <w:r>
              <w:rPr>
                <w:b w:val="0"/>
                <w:color w:val="5F6B7A"/>
                <w:sz w:val="15"/>
              </w:rPr>
              <w:t xml:space="preserve">   15min.lt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2026-10-01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3">
              <w:r>
                <w:rPr>
                  <w:color w:val="1A1A1A"/>
                  <w:sz w:val="18"/>
                </w:rPr>
                <w:t xml:space="preserve">Klaipėdos „Akropolis“ baigė naujojo pastato statybas: atskleidė, kokie prekių ženklai čia įsikurs</w:t>
              </w:r>
            </w:hyperlink>
            <w:r>
              <w:rPr>
                <w:b w:val="0"/>
                <w:color w:val="5F6B7A"/>
                <w:sz w:val="15"/>
              </w:rPr>
              <w:t xml:space="preserve">   Delfi  ·  dar 1 panašūs pranešimai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2026-09-29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4">
              <w:r>
                <w:rPr>
                  <w:color w:val="1A1A1A"/>
                  <w:sz w:val="18"/>
                </w:rPr>
                <w:t xml:space="preserve">„Akropolis Group“ valdomas „Akropole Alfa“ tvarumo įvertinimą pagerino iki BREEAM „Excellent“</w:t>
              </w:r>
            </w:hyperlink>
            <w:r>
              <w:rPr>
                <w:b w:val="0"/>
                <w:color w:val="5F6B7A"/>
                <w:sz w:val="15"/>
              </w:rPr>
              <w:t xml:space="preserve">   Delfi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F4E79"/>
          <w:sz w:val="28"/>
        </w:rPr>
        <w:t>ESG report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Komercinis nekilnojamasis turtas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Išskirtuose sektoriuose veiklos nėra</w:t>
            </w:r>
            <w:hyperlink r:id="rId24">
              <w:r>
                <w:rPr>
                  <w:color w:val="2A78D6"/>
                  <w:vertAlign w:val="superscript"/>
                  <w:sz w:val="15"/>
                </w:rPr>
                <w:t xml:space="preserve">25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Ginčų pagal JT Pasaulinį susitarimą ar EBPO gaires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UK, US OFAC konsoliduotuose sankcijų sąrašuose (automatinė patikra 2026-10-22).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Neigiamų naujienų nerasta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2026-07-24 – 2026-10-22: 4 pranešimų, iš jų su neigiamu žodžiu antraštėje – 0 (plačiau – skiltyje „Ką rašo spauda“).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Visi 5 centrai turi BREEAM In-Use „Very Good“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ISO 14001 ir ISO 45001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Žaliųjų finansų sistema su Sustainalytics nuomone</w:t>
            </w:r>
            <w:hyperlink r:id="rId35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350 mln. EUR obligacijų lėšos visos paskirstytos žaliems pastatams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Geltonų signalų nerasta.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2025 m. pabaigoje valdyboje nebuvo nepriklausomų narių</w:t>
            </w:r>
            <w:hyperlink r:id="rId36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Nekilnojamojo turto politika</w:t>
            </w:r>
            <w:hyperlink r:id="rId37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Pastatų sertifikavimas, aplinkos vadybos sistema, pirmoji CSRD tvarumo ataskaita su ribotu užtikrinimu</w:t>
            </w:r>
            <w:hyperlink r:id="rId35">
              <w:r>
                <w:rPr>
                  <w:color w:val="2A78D6"/>
                  <w:vertAlign w:val="superscript"/>
                  <w:sz w:val="15"/>
                </w:rPr>
                <w:t xml:space="preserve">29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Nereikia: aukšti tvarumo standartai.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Skelbiama ESRS tvarumo ataskaita ir žaliųjų obligacijų lėšų paskirstymas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 Sertifikuoti žali pastatai ir žaliosios obligacijos.</w:t>
      </w:r>
    </w:p>
    <w:p>
      <w:pPr>
        <w:spacing w:before="40" w:after="60"/>
      </w:pPr>
      <w:r>
        <w:rPr>
          <w:b w:val="0"/>
          <w:color w:val="5F6B7A"/>
          <w:sz w:val="16"/>
        </w:rPr>
        <w:t>Taikytos SEB politikos: Policy on Sustainability Considerations in Investments (SEB AB); Real Estate and Construction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F4E79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Akropolis Group - S&amp;P affirmed BB+ stable, 2025-12-15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Akropolis Group - Investor presentation 2026 H1 (slide numbers), p. 5,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Akropolis Group - Investor presentation 2026 H1 (slide numbers), p. 7, 12,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Akropolis Group - Consolidated condensed interim financial statements 6M 2026 (PwC review, LT), p. 6, 9, 11,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5.</w:t>
        <w:tab/>
      </w:r>
      <w:hyperlink r:id="rId14">
        <w:r>
          <w:rPr>
            <w:color w:val="2A78D6"/>
            <w:sz w:val="17"/>
          </w:rPr>
          <w:t xml:space="preserve">Akropolis Group - Investor presentation 2026 H1 (slide numbers), p. 7,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6.</w:t>
        <w:tab/>
      </w:r>
      <w:hyperlink r:id="rId16">
        <w:r>
          <w:rPr>
            <w:color w:val="2A78D6"/>
            <w:sz w:val="17"/>
          </w:rPr>
          <w:t xml:space="preserve">Akropolis Group - Investor presentation 2026 H1 (slide numbers), p. 11,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7.</w:t>
        <w:tab/>
      </w:r>
      <w:hyperlink r:id="rId17">
        <w:r>
          <w:rPr>
            <w:color w:val="2A78D6"/>
            <w:sz w:val="17"/>
          </w:rPr>
          <w:t xml:space="preserve">Akropolis Group - Consolidated condensed interim financial statements 6M 2026 (PwC review, LT), p. 7-8,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8.</w:t>
        <w:tab/>
      </w:r>
      <w:hyperlink r:id="rId18">
        <w:r>
          <w:rPr>
            <w:color w:val="2A78D6"/>
            <w:sz w:val="17"/>
          </w:rPr>
          <w:t xml:space="preserve">Akropolis Group - Consolidated annual management report 2025 (LT), p. 10, 2026-04-09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9.</w:t>
        <w:tab/>
      </w:r>
      <w:hyperlink r:id="rId19">
        <w:r>
          <w:rPr>
            <w:color w:val="2A78D6"/>
            <w:sz w:val="17"/>
          </w:rPr>
          <w:t xml:space="preserve">Akropolis Group - Consolidated condensed interim financial statements 6M 2026 (PwC review, LT), p. 11,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10.</w:t>
        <w:tab/>
      </w:r>
      <w:hyperlink r:id="rId15">
        <w:r>
          <w:rPr>
            <w:color w:val="2A78D6"/>
            <w:sz w:val="17"/>
          </w:rPr>
          <w:t xml:space="preserve">Akropolis Group - Consolidated condensed interim financial statements 6M 2026 (PwC review, LT), p. 6,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11.</w:t>
        <w:tab/>
      </w:r>
      <w:hyperlink r:id="rId20">
        <w:r>
          <w:rPr>
            <w:color w:val="2A78D6"/>
            <w:sz w:val="17"/>
          </w:rPr>
          <w:t xml:space="preserve">Akropolis Group - Consolidated condensed interim financial statements 6M 2026 (PwC review, LT), p. 4,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12.</w:t>
        <w:tab/>
      </w:r>
      <w:hyperlink r:id="rId21">
        <w:r>
          <w:rPr>
            <w:color w:val="2A78D6"/>
            <w:sz w:val="17"/>
          </w:rPr>
          <w:t xml:space="preserve">Akropolis Group - Consolidated condensed interim financial statements 6M 2026 (PwC review, LT), p. 5,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13.</w:t>
        <w:tab/>
      </w:r>
      <w:hyperlink r:id="rId22">
        <w:r>
          <w:rPr>
            <w:color w:val="2A78D6"/>
            <w:sz w:val="17"/>
          </w:rPr>
          <w:t xml:space="preserve">Akropolis Group - Investor presentation 2026 H1 (slide numbers), p. 12,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14.</w:t>
        <w:tab/>
      </w:r>
      <w:hyperlink r:id="rId24">
        <w:r>
          <w:rPr>
            <w:color w:val="2A78D6"/>
            <w:sz w:val="17"/>
          </w:rPr>
          <w:t xml:space="preserve">Akropolis Group - Consolidated condensed interim financial statements 6M 2026 (PwC review, LT), p. 9-10,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15.</w:t>
        <w:tab/>
      </w:r>
      <w:hyperlink r:id="rId25">
        <w:r>
          <w:rPr>
            <w:color w:val="2A78D6"/>
            <w:sz w:val="17"/>
          </w:rPr>
          <w:t xml:space="preserve">Akropolis Group - Investor presentation 2026 H1 (slide numbers), p. 14,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16.</w:t>
        <w:tab/>
      </w:r>
      <w:hyperlink r:id="rId26">
        <w:r>
          <w:rPr>
            <w:color w:val="2A78D6"/>
            <w:sz w:val="17"/>
          </w:rPr>
          <w:t xml:space="preserve">Akropolis Group - Investor presentation 2026 H1 (slide numbers), p. 6,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17.</w:t>
        <w:tab/>
      </w:r>
      <w:hyperlink r:id="rId27">
        <w:r>
          <w:rPr>
            <w:color w:val="2A78D6"/>
            <w:sz w:val="17"/>
          </w:rPr>
          <w:t xml:space="preserve">Akropolis Group - Consolidated annual management report 2025 (LT), p. 6, 2026-04-09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18.</w:t>
        <w:tab/>
      </w:r>
      <w:hyperlink r:id="rId18">
        <w:r>
          <w:rPr>
            <w:color w:val="2A78D6"/>
            <w:sz w:val="17"/>
          </w:rPr>
          <w:t xml:space="preserve">Akropolis Group - Consolidated annual management report 2025 (LT), p. 10-11, 2026-04-09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19.</w:t>
        <w:tab/>
      </w:r>
      <w:hyperlink r:id="rId16">
        <w:r>
          <w:rPr>
            <w:color w:val="2A78D6"/>
            <w:sz w:val="17"/>
          </w:rPr>
          <w:t xml:space="preserve">Akropolis Group - Investor presentation 2026 H1 (slide numbers), p. 11-13, 2026-09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20.</w:t>
        <w:tab/>
      </w:r>
      <w:hyperlink r:id="rId28">
        <w:r>
          <w:rPr>
            <w:color w:val="2A78D6"/>
            <w:sz w:val="17"/>
          </w:rPr>
          <w:t xml:space="preserve">Akropolis Group - Consolidated condensed interim financial statements 6M 2026 (PwC review, LT), p. 8,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21.</w:t>
        <w:tab/>
      </w:r>
      <w:hyperlink r:id="rId29">
        <w:r>
          <w:rPr>
            <w:color w:val="2A78D6"/>
            <w:sz w:val="17"/>
          </w:rPr>
          <w:t xml:space="preserve">Akropolis Group - Base Prospectus, EUR 350m 6.000% notes due 2030, p. 2-3, 2025-05-13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22.</w:t>
        <w:tab/>
      </w:r>
      <w:hyperlink r:id="rId30">
        <w:r>
          <w:rPr>
            <w:color w:val="2A78D6"/>
            <w:sz w:val="17"/>
          </w:rPr>
          <w:t xml:space="preserve">Akropolis Group - Base Prospectus, EUR 350m 6.000% notes due 2030, p. 1-4, 2025-05-13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23.</w:t>
        <w:tab/>
      </w:r>
      <w:hyperlink r:id="rId29">
        <w:r>
          <w:rPr>
            <w:color w:val="2A78D6"/>
            <w:sz w:val="17"/>
          </w:rPr>
          <w:t xml:space="preserve">Akropolis Group - Base Prospectus, EUR 350m 6.000% notes due 2030, p. 2, 2025-05-13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24.</w:t>
        <w:tab/>
      </w:r>
      <w:hyperlink r:id="rId31">
        <w:r>
          <w:rPr>
            <w:color w:val="2A78D6"/>
            <w:sz w:val="17"/>
          </w:rPr>
          <w:t xml:space="preserve">Akropolis Group - Consolidated condensed interim financial statements 6M 2026 (PwC review, LT), p. 13,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25.</w:t>
        <w:tab/>
      </w:r>
      <w:hyperlink r:id="rId24">
        <w:r>
          <w:rPr>
            <w:color w:val="2A78D6"/>
            <w:sz w:val="17"/>
          </w:rPr>
          <w:t xml:space="preserve">Akropolis Group - Consolidated condensed interim financial statements 6M 2026 (PwC review, LT), p. 9, 2026-09-14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26.</w:t>
        <w:tab/>
      </w:r>
      <w:hyperlink r:id="rId35">
        <w:r>
          <w:rPr>
            <w:color w:val="2A78D6"/>
            <w:sz w:val="17"/>
          </w:rPr>
          <w:t xml:space="preserve">Akropolis Group - Consolidated annual management report 2025 (LT), p. 4, 7, 2026-04-09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27.</w:t>
        <w:tab/>
      </w:r>
      <w:hyperlink r:id="rId36">
        <w:r>
          <w:rPr>
            <w:color w:val="2A78D6"/>
            <w:sz w:val="17"/>
          </w:rPr>
          <w:t xml:space="preserve">Akropolis Group - Consolidated annual management report 2025 (LT), p. 25-27, 2026-04-09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28.</w:t>
        <w:tab/>
      </w:r>
      <w:hyperlink r:id="rId37">
        <w:r>
          <w:rPr>
            <w:color w:val="2A78D6"/>
            <w:sz w:val="17"/>
          </w:rPr>
          <w:t xml:space="preserve">SEB Real Estate and Construction sector policy (2026-04-23), p. 6-10,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29.</w:t>
        <w:tab/>
      </w:r>
      <w:hyperlink r:id="rId35">
        <w:r>
          <w:rPr>
            <w:color w:val="2A78D6"/>
            <w:sz w:val="17"/>
          </w:rPr>
          <w:t xml:space="preserve">Akropolis Group - Consolidated annual management report 2025 (LT), p. 4, 6, 2026-04-09</w:t>
        </w:r>
      </w:hyperlink>
    </w:p>
    <w:p>
      <w:pPr>
        <w:spacing w:before="40" w:after="60"/>
      </w:pPr>
      <w:r>
        <w:rPr>
          <w:b w:val="0"/>
          <w:color w:val="5F6B7A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C9D3DE" w:space="4"/>
      </w:pBdr>
      <w:tabs>
        <w:tab w:pos="9638" w:val="right"/>
      </w:tabs>
    </w:pPr>
    <w:r>
      <w:rPr>
        <w:b w:val="0"/>
        <w:color w:val="5F6B7A"/>
        <w:sz w:val="16"/>
      </w:rPr>
      <w:t>Akropolis Group · 6M2026 · 2026-10-22</w:t>
      <w:tab/>
    </w:r>
    <w:r>
      <w:rPr>
        <w:b/>
        <w:color w:val="1F4E79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C9D3DE" w:space="4"/>
      </w:pBdr>
      <w:tabs>
        <w:tab w:pos="9638" w:val="right"/>
      </w:tabs>
    </w:pPr>
    <w:r>
      <w:rPr>
        <w:b w:val="0"/>
        <w:color w:val="5F6B7A"/>
        <w:sz w:val="16"/>
      </w:rPr>
      <w:t>Akropolis Group · 6M2026 · 2026-10-22</w:t>
      <w:tab/>
    </w:r>
    <w:r>
      <w:rPr>
        <w:b/>
        <w:color w:val="1F4E7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C9D3DE" w:space="4"/>
      </w:pBdr>
      <w:tabs>
        <w:tab w:pos="9638" w:val="right"/>
      </w:tabs>
    </w:pPr>
    <w:r>
      <w:rPr>
        <w:b/>
        <w:color w:val="1F4E79"/>
        <w:sz w:val="16"/>
      </w:rPr>
      <w:t>Akropolis Group</w:t>
    </w:r>
    <w:r>
      <w:rPr>
        <w:b w:val="0"/>
        <w:color w:val="5F6B7A"/>
        <w:sz w:val="16"/>
      </w:rPr>
      <w:tab/>
      <w:t>Emitento apžvalga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www.akropolis.eu/lt/naujienos/sp-global-ratings-patvirtino-akropolis-group-suteikt-bb-kredito-reiting-su-stabilia-perspektyva/46475" TargetMode="External"/><Relationship Id="rId13" Type="http://schemas.openxmlformats.org/officeDocument/2006/relationships/hyperlink" Target="https://akropolis.eu/view-file/751_Akropolis%20-%20review%202026%20H1.pdf#page=5" TargetMode="External"/><Relationship Id="rId14" Type="http://schemas.openxmlformats.org/officeDocument/2006/relationships/hyperlink" Target="https://akropolis.eu/view-file/751_Akropolis%20-%20review%202026%20H1.pdf#page=7" TargetMode="External"/><Relationship Id="rId15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6" TargetMode="External"/><Relationship Id="rId16" Type="http://schemas.openxmlformats.org/officeDocument/2006/relationships/hyperlink" Target="https://akropolis.eu/view-file/751_Akropolis%20-%20review%202026%20H1.pdf#page=11" TargetMode="External"/><Relationship Id="rId17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7" TargetMode="External"/><Relationship Id="rId18" Type="http://schemas.openxmlformats.org/officeDocument/2006/relationships/hyperlink" Target="https://akropolis.eu/view-file/739_AKROPOLIS%20GROUP,%20UAB%20Konsoliduotoji%20metin%C4%97%20vadovyb%C4%97s%20ataskaita%202025.pdf#page=10" TargetMode="External"/><Relationship Id="rId19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11" TargetMode="External"/><Relationship Id="rId20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4" TargetMode="External"/><Relationship Id="rId21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5" TargetMode="External"/><Relationship Id="rId22" Type="http://schemas.openxmlformats.org/officeDocument/2006/relationships/hyperlink" Target="https://akropolis.eu/view-file/751_Akropolis%20-%20review%202026%20H1.pdf#page=12" TargetMode="External"/><Relationship Id="rId23" Type="http://schemas.openxmlformats.org/officeDocument/2006/relationships/image" Target="media/image1.png"/><Relationship Id="rId24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9" TargetMode="External"/><Relationship Id="rId25" Type="http://schemas.openxmlformats.org/officeDocument/2006/relationships/hyperlink" Target="https://akropolis.eu/view-file/751_Akropolis%20-%20review%202026%20H1.pdf#page=14" TargetMode="External"/><Relationship Id="rId26" Type="http://schemas.openxmlformats.org/officeDocument/2006/relationships/hyperlink" Target="https://akropolis.eu/view-file/751_Akropolis%20-%20review%202026%20H1.pdf#page=6" TargetMode="External"/><Relationship Id="rId27" Type="http://schemas.openxmlformats.org/officeDocument/2006/relationships/hyperlink" Target="https://akropolis.eu/view-file/739_AKROPOLIS%20GROUP,%20UAB%20Konsoliduotoji%20metin%C4%97%20vadovyb%C4%97s%20ataskaita%202025.pdf#page=6" TargetMode="External"/><Relationship Id="rId28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8" TargetMode="External"/><Relationship Id="rId29" Type="http://schemas.openxmlformats.org/officeDocument/2006/relationships/hyperlink" Target="https://www.akropolis.eu/view-file/585_Base%20Prospectus%20of%20AKROPOLIS%20GROUP,%20UAB%20350%20M%20Bond%20issuance%20due%202030.pdf#page=2" TargetMode="External"/><Relationship Id="rId30" Type="http://schemas.openxmlformats.org/officeDocument/2006/relationships/hyperlink" Target="https://www.akropolis.eu/view-file/585_Base%20Prospectus%20of%20AKROPOLIS%20GROUP,%20UAB%20350%20M%20Bond%20issuance%20due%202030.pdf#page=1" TargetMode="External"/><Relationship Id="rId31" Type="http://schemas.openxmlformats.org/officeDocument/2006/relationships/hyperlink" Target="https://akropolis.eu/view-file/749_AKROPOLIS%20GROUP,%20UAB%20konsoliduotos%20sutrumpintos%20tarpin%C4%97s%20finansin%C4%97s%20ataskaitos%20u%C5%BE%20%C5%A1e%C5%A1i%C5%B3%20m%C4%97nesi%C5%B3%20laikotarp%C4%AF,%20pasibaigus%C4%AF%202026%20m.%20bir%C5%BEelio%2030%20d..pdf#page=13" TargetMode="External"/><Relationship Id="rId32" Type="http://schemas.openxmlformats.org/officeDocument/2006/relationships/hyperlink" Target="https://news.google.com/rss/articles/CBMitAFBVV95cUxOQmNNazlPTmhtbVAwRjQ0VDhDcFRFejU0WFh4MzV3cGppUE1nalhScmdmT0tDTGY5d3RBeG0wSDN1UnhaZFQwU3NGRDhOU2VDWFd0YjNFTC1CbktqQWlZaG5JRkUxcmdUVUJtZUFvcWQ0RnM5X3JUTWtRQ0RFdWFOU1FnTDZPZkYzcHNkNXh4c21sWmVKbmRYeVVFYmJSQVlrZjVqd1lVM2ljTlg2SHBEZWpULUY?oc=5" TargetMode="External"/><Relationship Id="rId33" Type="http://schemas.openxmlformats.org/officeDocument/2006/relationships/hyperlink" Target="https://news.google.com/rss/articles/CBMi2gFBVV95cUxNWlYyZ0hPbnVBZDg0OExIcmNBUlVIVDdUMlZQbV8tUEQzcnoyOUY1REk4ZmNaTDZtMmM1SmdhWXVEejc3VmZYa1BScGxudWhxd2tMZy03dmdDaG9pT3Y1UWJOMUdFSEtsVjBKTEJCZXFLNW5FclhrSUtlQThBbHpEcVlKazVSTzlzeWotTUMzaXRuVjJIeGRsM2V1cDVBb2ZnMXdUSHVuQnhMM3hiNkNFLUp3LWdDU0pxRVdGdWNzLTNuM1ZNbVpsUmkwT2dwYWFhXzhlWmVUUDhIdw?oc=5" TargetMode="External"/><Relationship Id="rId34" Type="http://schemas.openxmlformats.org/officeDocument/2006/relationships/hyperlink" Target="https://news.google.com/rss/articles/CBMi5AFBVV95cUxNZDJ3NXcxSk5WemZyNGxQOUg0aWRaVWJhOUp4RGZRcXRpWktoNE10Q1VFWnRzbWZkbFRVY0FGZUJMcWNJX3I0b2dlUUhwSGkzbERsc2dCYnhYVnN4RUFRMS1OUHBpMUYyTTBnc3QxeWZFR3FaT2RwSmNNT0VjenpmSlZXRko0ZnM1ZHNUcjdrQUtkbTBNTk9NVHRvVkpNbTFrVmVROWRwSmhCMF9teDJiTTRZb1NUSzV3cEhLQ0JSN3BmTjJMYVZ6aVktV0NOUDBUYlR3VnNWdjZJMHRtZU52eEg2eVI?oc=5" TargetMode="External"/><Relationship Id="rId35" Type="http://schemas.openxmlformats.org/officeDocument/2006/relationships/hyperlink" Target="https://akropolis.eu/view-file/739_AKROPOLIS%20GROUP,%20UAB%20Konsoliduotoji%20metin%C4%97%20vadovyb%C4%97s%20ataskaita%202025.pdf#page=4" TargetMode="External"/><Relationship Id="rId36" Type="http://schemas.openxmlformats.org/officeDocument/2006/relationships/hyperlink" Target="https://akropolis.eu/view-file/739_AKROPOLIS%20GROUP,%20UAB%20Konsoliduotoji%20metin%C4%97%20vadovyb%C4%97s%20ataskaita%202025.pdf#page=25" TargetMode="External"/><Relationship Id="rId37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