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Augstsprieguma tīkls (AST)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AST – 100 % valstybinis Latvijos elektros perdavimo operatorius su A- reitingu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2027-01-20 išperkamai 100 mln. EUR obligacijai turima 94,7 mln. EUR pinigų ir nepanaudota SEB overdrafto linija iki 90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61,4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22,5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0,93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(apskaičiuota įrankio); nuosavo kapitalo dalis 40 %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Per šį laikotarpį naujienų apie emitentą nerasta.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Augstsprieguma tīkls (AST)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hyperlink" Target="https://nasdaqbaltic.com/market/upload/reports/ast/2026_q2_en_con.pdf#page=3" TargetMode="External"/><Relationship Id="rId16" Type="http://schemas.openxmlformats.org/officeDocument/2006/relationships/hyperlink" Target="https://nasdaqbaltic.com/market/upload/reports/ast/2026_q2_en_con.pdf#page=4" TargetMode="External"/><Relationship Id="rId17" Type="http://schemas.openxmlformats.org/officeDocument/2006/relationships/hyperlink" Target="https://nasdaqbaltic.com/market/upload/reports/ast/2025_q4_en_con.pdf#page=13" TargetMode="External"/><Relationship Id="rId18" Type="http://schemas.openxmlformats.org/officeDocument/2006/relationships/hyperlink" Target="https://nasdaqbaltic.com/market/upload/reports/ast/2025_q4_en_con.pdf#page=5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ast/2025_ar_en_con.pdf#page=8" TargetMode="External"/><Relationship Id="rId21" Type="http://schemas.openxmlformats.org/officeDocument/2006/relationships/hyperlink" Target="https://nasdaqbaltic.com/market/upload/reports/ast/2025_ar_en_con.pdf#page=15" TargetMode="External"/><Relationship Id="rId22" Type="http://schemas.openxmlformats.org/officeDocument/2006/relationships/hyperlink" Target="https://nasdaqbaltic.com/market/upload/reports/ast/2025_q4_en_con.pdf#page=8" TargetMode="External"/><Relationship Id="rId23" Type="http://schemas.openxmlformats.org/officeDocument/2006/relationships/hyperlink" Target="https://nasdaqbaltic.com/market/upload/reports/ast/2026_q2_en_con.pdf#page=22" TargetMode="External"/><Relationship Id="rId24" Type="http://schemas.openxmlformats.org/officeDocument/2006/relationships/hyperlink" Target="https://nasdaqbaltic.com/market/upload/reports/ast/2025_q4_en_con.pdf#page=7" TargetMode="External"/><Relationship Id="rId25" Type="http://schemas.openxmlformats.org/officeDocument/2006/relationships/hyperlink" Target="https://nasdaqbaltic.com/statistics/en/instrument/LV0000802528/security?date=2026-10-19" TargetMode="External"/><Relationship Id="rId26" Type="http://schemas.openxmlformats.org/officeDocument/2006/relationships/hyperlink" Target="https://nasdaqbaltic.com/market/upload/reports/ast/2026_q2_en_con.pdf#page=5" TargetMode="External"/><Relationship Id="rId27" Type="http://schemas.openxmlformats.org/officeDocument/2006/relationships/hyperlink" Target="https://nasdaqbaltic.com/market/upload/reports/ast/2025_ar_en_con.pdf#page=18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