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Bigbank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Ba1 long-term deposit rating, outlook negative; BCA ba2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Q4 2026 and annual results - expected February 2027 (monthly results 2026-11-12)</w:t>
            </w:r>
            <w:hyperlink r:id="rId13">
              <w:r>
                <w:rPr>
                  <w:color w:val="2A78D6"/>
                  <w:vertAlign w:val="superscript"/>
                  <w:sz w:val="16"/>
                </w:rPr>
                <w:t xml:space="preserve">2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9M profit EUR 30.1m (30.2m), loans +27% year on year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 CET1 13.2% – well above the 7% write-down trigger of the AT1 held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A1A1A"/>
                <w:sz w:val="21"/>
              </w:rPr>
              <w:t>. To watch: Moody's outlook is negative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30.1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0.3 %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ROE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12.9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1.4 p. p.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13.2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0.2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19.2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0.5 p. p.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stable, costs rising:</w:t>
      </w:r>
      <w:r>
        <w:rPr>
          <w:b w:val="0"/>
        </w:rPr>
        <w:t xml:space="preserve"> 9M net interest income EUR 94.0m (78.7m), profit EUR 30.1m (30.2m); cost/income 51.2% (46.7%), ROE 12.9% (14.3%)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Fast growth:</w:t>
      </w:r>
      <w:r>
        <w:rPr>
          <w:b w:val="0"/>
        </w:rPr>
        <w:t xml:space="preserve"> loans EUR 3.27bn (+EUR 688m year on year), deposits EUR 3.52bn; total assets passed EUR 4bn</w:t>
      </w:r>
      <w:hyperlink r:id="rId14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Capital:</w:t>
      </w:r>
      <w:r>
        <w:rPr>
          <w:b w:val="0"/>
        </w:rPr>
        <w:t xml:space="preserve"> CET1 13.2%, total capital 19.2%, leverage 8.5%; LCR 225.8%</w:t>
      </w:r>
      <w:hyperlink r:id="rId14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Quality improving:</w:t>
      </w:r>
      <w:r>
        <w:rPr>
          <w:b w:val="0"/>
        </w:rPr>
        <w:t xml:space="preserve"> Stage 3 loans EUR 100m – 3.0% (4.3% at end-2025)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701"/>
        <w:gridCol w:w="2608"/>
        <w:gridCol w:w="963"/>
        <w:gridCol w:w="1304"/>
        <w:gridCol w:w="3061"/>
      </w:tblGrid>
      <w:tr>
        <w:tc>
          <w:tcPr>
            <w:tcW w:type="dxa" w:w="170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60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9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30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306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70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EE3300003581</w:t>
            </w:r>
          </w:p>
        </w:tc>
        <w:tc>
          <w:tcPr>
            <w:tcW w:type="dxa" w:w="260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Bigbank 12% AT1 temporary write-down notes (August 2023)</w:t>
            </w:r>
          </w:p>
        </w:tc>
        <w:tc>
          <w:tcPr>
            <w:tcW w:type="dxa" w:w="9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30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306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call possible from 5 years after issue (first interest date 2028-09-15, tool-derived); trigger CET1 7%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106.2*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112.7*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97.5*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30.1*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0.3 %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46.7%*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51.2%*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4.5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2,196.5*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2,707.5*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3,268.4*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20.7 %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2,393.3*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2,879.6*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3,523.4*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22.4 %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3,316.7*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3,152.0*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4,003.6*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27.0 %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299.5*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292.4*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9.9 %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13.2%*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19.2%*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195.0%*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201.6%*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225.8%*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24.2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3.0%*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1.3 p. p.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bank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Estonian-owned bank operating in 9 countries; more than 222,000 active clients; aims to become a main bank in the Baltics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2026:</w:t>
      </w:r>
      <w:r>
        <w:rPr>
          <w:b w:val="0"/>
        </w:rPr>
        <w:t xml:space="preserve"> Apple Pay, Google Pay, a current account paying 2%; EUR 17.23m of new AT1 bonds issued in Q3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37.9m (32.3m), ROE 13.3% (12.5%), CET1 13.4% (13.1%), total capital 18.7% (18.2%)</w:t>
      </w:r>
      <w:hyperlink r:id="rId20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 policy:</w:t>
      </w:r>
      <w:r>
        <w:rPr>
          <w:b w:val="0"/>
        </w:rPr>
        <w:t xml:space="preserve"> up to 25% of audited profit, capped at EUR 8m a year; EUR 8.0m paid in 2026</w:t>
      </w:r>
      <w:hyperlink r:id="rId26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of 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ROE 12.9%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the final strategy year ROE is well below target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Not 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of 25% of profit, max EUR 8m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 8.0m paid in 2026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line with policy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EE3300003581 (August 2023 series), issued 2023-08-31, EUR 5.08m, quarterly coupon; unlisted (private placement)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callable no earlier than 5 years after issue (first interest date after that is 2028-09-15, calculated by the tool), with supervisory approval</w:t>
      </w:r>
      <w:hyperlink r:id="rId28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 If group or bank CET1 falls below 7%, the principal is temporarily written down; the bank may cancel coupons at its discretion and cancelled coupons do not accumulate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13.2% – about 6 pp above the trigger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AT1 is the lowest-ranking debt (below deposits and Tier 2)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profitable, growing bank with adequate capital, but an AT1 instrument and a negative Moody's outlook.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Tegevust laiendav Bigbank suurendas kasumit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1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bank (consumer, mortgage and business loans)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new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Earlier: in 2024 the Estonian FSA ordered improvements to the credit risk write-down methodology, with no fine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2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annual report includes a sustainability report (from p.40)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sustainability report follows ESRS and carries an assurance report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 sustainability report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Sustainability indicators are published in the annual report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Bigbank - Reporting page, Moody's ratings,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Bigbank - Investor relations (calendar),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Bigbank - Q3 2026 results blog,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Bigbank - Interim report Q3 2026 (unaudited, ET), p.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Bigbank - AT1 August 2023 bond page and Final Terms,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4">
        <w:r>
          <w:rPr>
            <w:color w:val="2A78D6"/>
            <w:sz w:val="17"/>
          </w:rPr>
          <w:t xml:space="preserve">Bigbank - Interim report Q3 2026 (unaudited, ET), p. 7, 10,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Bigbank - Interim report Q3 2026 (unaudited, ET), p. 5,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Bigbank - Annual report 2025 incl. sustainability report (audited, ET), p. 15,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Bigbank - Annual report 2025 incl. sustainability report (audited, ET), p. 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Bigbank - Interim report Q3 2026 (unaudited, ET), p. 11,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Bigbank - Interim report Q3 2026 (unaudited, ET), p. 18,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Bigbank - Interim report Q3 2026 (unaudited, ET), p. 14,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0">
        <w:r>
          <w:rPr>
            <w:color w:val="2A78D6"/>
            <w:sz w:val="17"/>
          </w:rPr>
          <w:t xml:space="preserve">Bigbank - Annual report 2025 incl. sustainability report (audited, ET), p. 18-19,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Bigbank - Annual report 2025 incl. sustainability report (audited, ET), p. 13,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7">
        <w:r>
          <w:rPr>
            <w:color w:val="2A78D6"/>
            <w:sz w:val="17"/>
          </w:rPr>
          <w:t xml:space="preserve">Bigbank - Interim report Q3 2026 (unaudited, ET), p. 13,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(6(e)),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(5(2), 7),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Bigbank - Terms and Conditions of AT1 Temporary Write-Down Notes (August 2023) (4), 2023-08-09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Finantsinspektsioon - precept to Bigbank AS, 2024-03-04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Bigbank - Annual report 2025 incl. sustainability report (audited, ET), p. 40,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Bigbank - Annual report 2025 incl. sustainability report (audited, ET), p. 40, 222,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2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Bigbank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Bigbank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Bigbank</w:t>
    </w:r>
    <w:r>
      <w:rPr>
        <w:b w:val="0"/>
        <w:color w:val="5F6B7A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investor.bigbank.eu/et/reporting/" TargetMode="External"/><Relationship Id="rId13" Type="http://schemas.openxmlformats.org/officeDocument/2006/relationships/hyperlink" Target="https://investor.bigbank.eu/et" TargetMode="External"/><Relationship Id="rId14" Type="http://schemas.openxmlformats.org/officeDocument/2006/relationships/hyperlink" Target="https://static.bigbank.eu/investor/assets/2026/10/Bigbank_vahearuanne_kv3_2026.pdf#page=7" TargetMode="External"/><Relationship Id="rId15" Type="http://schemas.openxmlformats.org/officeDocument/2006/relationships/hyperlink" Target="https://www.bigbank.ee/blogi/bigbanki-2026-aasta-kolmanda-kvartali-majandustulemused/" TargetMode="External"/><Relationship Id="rId16" Type="http://schemas.openxmlformats.org/officeDocument/2006/relationships/hyperlink" Target="https://static.bigbank.eu/investor/assets/2026/10/Bigbank_vahearuanne_kv3_2026.pdf#page=10" TargetMode="External"/><Relationship Id="rId17" Type="http://schemas.openxmlformats.org/officeDocument/2006/relationships/hyperlink" Target="https://investor.bigbank.eu/et/allutatud-volakirjad/?bond=at1-august-2023" TargetMode="External"/><Relationship Id="rId18" Type="http://schemas.openxmlformats.org/officeDocument/2006/relationships/hyperlink" Target="https://static.bigbank.eu/investor/assets/2026/10/Bigbank_vahearuanne_kv3_2026.pdf#page=5" TargetMode="External"/><Relationship Id="rId19" Type="http://schemas.openxmlformats.org/officeDocument/2006/relationships/hyperlink" Target="https://static.bigbank.eu/investor/assets/2026/02/Bigbank_aastaaruanne_2025.pdf#page=15" TargetMode="External"/><Relationship Id="rId20" Type="http://schemas.openxmlformats.org/officeDocument/2006/relationships/hyperlink" Target="https://static.bigbank.eu/investor/assets/2026/02/Bigbank_aastaaruanne_2025.pdf#page=18" TargetMode="External"/><Relationship Id="rId21" Type="http://schemas.openxmlformats.org/officeDocument/2006/relationships/hyperlink" Target="https://static.bigbank.eu/investor/assets/2026/02/Bigbank_aastaaruanne_2025.pdf#page=19" TargetMode="External"/><Relationship Id="rId22" Type="http://schemas.openxmlformats.org/officeDocument/2006/relationships/hyperlink" Target="https://static.bigbank.eu/investor/assets/2026/10/Bigbank_vahearuanne_kv3_2026.pdf#page=11" TargetMode="External"/><Relationship Id="rId23" Type="http://schemas.openxmlformats.org/officeDocument/2006/relationships/hyperlink" Target="https://static.bigbank.eu/investor/assets/2026/10/Bigbank_vahearuanne_kv3_2026.pdf#page=18" TargetMode="External"/><Relationship Id="rId24" Type="http://schemas.openxmlformats.org/officeDocument/2006/relationships/hyperlink" Target="https://static.bigbank.eu/investor/assets/2026/10/Bigbank_vahearuanne_kv3_2026.pdf#page=14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static.bigbank.eu/investor/assets/2026/02/Bigbank_aastaaruanne_2025.pdf#page=13" TargetMode="External"/><Relationship Id="rId27" Type="http://schemas.openxmlformats.org/officeDocument/2006/relationships/hyperlink" Target="https://static.bigbank.eu/investor/assets/2026/10/Bigbank_vahearuanne_kv3_2026.pdf#page=13" TargetMode="External"/><Relationship Id="rId28" Type="http://schemas.openxmlformats.org/officeDocument/2006/relationships/hyperlink" Target="https://static.bigbank.eu/investor/assets/2023/09/Terms-and-Conditions-of-Bigbank-AT1-Temporary-Write-Down-Notes-August-2023-2.pdf" TargetMode="External"/><Relationship Id="rId29" Type="http://schemas.openxmlformats.org/officeDocument/2006/relationships/hyperlink" Target="https://news.google.com/rss/articles/CBMilAFBVV95cUxNM1BXV2xRT1BFZ0J3b29QSTcycTNsUUNvdGFCVnY1dVp1MUkwcjlFRnc4YnZ2enFqTFlSb09FdXBCeU1TeFBBYjExejkyczB6OXNidVg4enp1N20xWXVna0xlMG5tVk5TVld4TzNuOUxOendHQzhmZkdxMWJHMEtxYjFCR3Q1RHVzZjZ1X3hHbkh0VVJ0?oc=5" TargetMode="External"/><Relationship Id="rId30" Type="http://schemas.openxmlformats.org/officeDocument/2006/relationships/hyperlink" Target="https://fi.ee/en/news/finantsinspektsioon-issued-precept-bigbank" TargetMode="External"/><Relationship Id="rId31" Type="http://schemas.openxmlformats.org/officeDocument/2006/relationships/hyperlink" Target="https://static.bigbank.eu/investor/assets/2026/02/Bigbank_aastaaruanne_2025.pdf#page=40" TargetMode="External"/><Relationship Id="rId32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