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25,6 mln. EUR (+19 %, apskaičiuota įrankio),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14,75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213,29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11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sAFBVV95cUxOTmxBMDZIb05SU2xKUjBMLTZyY2N1b3o1Um9FRi1WVlV5dGp1ZWd5ejc2QU5jTkZvYVA5MVR1clJvRFptU011M0F1SFdyc3V1OEVSQXJJeUZQdHdZbzFPcDI3aVJadzhFSFVuY1lNQmROcFZ5U1hBeVF4YVRBTGRPTVRzUGxfYXZ5c3hIYmFTaFJXYmgwREJDSmxoNFJwQnNUS2xoRGNMNEhRVG90V1oxWQ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