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Inbank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No public credit rating found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results - expected late October /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 pusm. pelnas 8,3 mln. EUR (+2 %), ROE 9,6 %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Kapitalas viršija reikalavimus: CET1 13,15 % (reikalaujama 9,85 %), bendras kapitalas 18,38 % (14,66 %)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8,3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9,6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rodiklis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13,15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Bendrasis kapitalo rodiklis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18,38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1,07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Paskolų ir nuomos portfelis 1,32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II ketv. – 28,4 mln. EUR (−23 %); 2025 m. – 146 mln. EUR (+65 %)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Vėluojančių &gt;90 d. privačių paskolų dalis – 2,4 % (apskaičiuota įrankio)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19,2 mln. EUR, ROE 12,3 %, sąnaudų / pajamų santykis 54,4 %, rizikos kaina 1,59 %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0,40 EUR akcijai (4,8 mln. EUR)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 ketv. rizikos kaina 1,54 % – tikslo ribose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Išankstinis išpirkimas:</w:t>
      </w:r>
      <w:r>
        <w:rPr>
          <w:b w:val="0"/>
        </w:rPr>
        <w:t xml:space="preserve"> 2026-09-28 Inbank paskelbė pranešimą apie obligacijų išankstinį išpirkimą (su įrašų fiksavimo ir išpirkimo dienomis); kuri emisija – antraštėje nenurodyta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Lenkija:</w:t>
      </w:r>
      <w:r>
        <w:rPr>
          <w:b w:val="0"/>
        </w:rPr>
        <w:t xml:space="preserve"> 2026-09-30 Inbank paskelbė savo poziciją dėl Lenkijos vartotojų apsaugos tarnybos (UOKiK) sprendimo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EE), 2026-07-24 – 2026-10-22: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A1A1A"/>
                  <w:sz w:val="18"/>
                </w:rPr>
                <w:t xml:space="preserve">Inbanki seisukoht UOKiK otsuse kohta Poolas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A1A1A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Vartojimo ir pirkinių finansavimas, automobilių lizingas – veiklos išskirtuose sektoriuose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nurodymai: 2023 m. Inbank AS – ištaisyti valdymo, atitikties ir rizikos valdymo trūkumus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2025-10 Inbank Finance – ištaisyti vartojimo kreditų vertinimo taisykles iki 2025 m. gruodžio vidurio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neskirta.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nerasta, išskyrus aukščiau minėtus priežiūros nurodymus ir 2026-09-30 Inbank paskelbtą poziciją dėl Lenkijos vartotojų apsaugos tarnybos (UOKiK) sprendimo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„Inbanki seisukoht UOKiK otsuse kohta Poolas“ (GlobeNewswire,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(saulės elektrinės, elektromobiliai ir kt.) 2025 m. – 146 mln. EUR, +65 %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finansavimo produktai prisideda prie Paryžiaus tikslų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Atskiro klimato neutralumo tikslo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Priežiūros nurodymai be baudų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Veiklos išskirtuose sektoriuose nėra, augantis žaliasis finansavimas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 ir finansuojamos emisijos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su atsarga.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146 mln. EUR 2025 m.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II ketv. – 28,4 mln. EUR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auga; buvo priežiūros nurodymų dėl valdymo ir kreditų vertinimo (be baudų).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Inbank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Inbank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Inbank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5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6" Type="http://schemas.openxmlformats.org/officeDocument/2006/relationships/hyperlink" Target="https://fi.ee/en/news/finantsinspektsioon-issued-precept-inbank" TargetMode="External"/><Relationship Id="rId27" Type="http://schemas.openxmlformats.org/officeDocument/2006/relationships/hyperlink" Target="https://fi.ee/en/news/finantsinspektsioon-issued-precept-inbank-finance" TargetMode="External"/><Relationship Id="rId2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