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60" w:type="dxa"/>
          <w:left w:w="280" w:type="dxa"/>
          <w:bottom w:w="260" w:type="dxa"/>
          <w:right w:w="28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  <w:shd w:val="clear" w:color="auto" w:fill="1F4E79"/>
          </w:tcPr>
          <w:p>
            <w:pPr>
              <w:spacing w:before="0" w:after="0"/>
            </w:pPr>
            <w:r>
              <w:rPr>
                <w:b/>
                <w:caps/>
                <w:color w:val="AFC6DD"/>
                <w:sz w:val="17"/>
              </w:rPr>
              <w:t>Emitento apžvalga · FY2026</w:t>
            </w:r>
          </w:p>
          <w:p>
            <w:pPr>
              <w:spacing w:before="40" w:after="0"/>
            </w:pPr>
            <w:r>
              <w:rPr>
                <w:b/>
                <w:color w:val="FFFFFF"/>
                <w:sz w:val="52"/>
              </w:rPr>
              <w:t>LATRAPS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280" w:after="0"/>
              <w:jc w:val="right"/>
            </w:pPr>
            <w:r>
              <w:rPr>
                <w:b/>
                <w:color w:val="1B7F3B"/>
                <w:sz w:val="19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12" w:color="2A78D6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2026-10-22</w:t>
            </w:r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Reitingas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nerasta (no credit rating found)</w:t>
            </w:r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Audited annual report FY2025/26 - expected November 2026 (FY2024/25 report was signed 2025-11-24</w:t>
            </w:r>
            <w:hyperlink r:id="rId12">
              <w:r>
                <w:rPr>
                  <w:color w:val="2A78D6"/>
                  <w:vertAlign w:val="superscript"/>
                  <w:sz w:val="16"/>
                </w:rPr>
                <w:t xml:space="preserve">1</w:t>
              </w:r>
            </w:hyperlink>
            <w:r>
              <w:rPr>
                <w:b w:val="0"/>
                <w:sz w:val="19"/>
              </w:rPr>
              <w:t>)</w:t>
            </w:r>
          </w:p>
        </w:tc>
      </w:tr>
    </w:tbl>
    <w:p>
      <w:pPr>
        <w:spacing w:before="0" w:after="8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A1A1A"/>
                <w:sz w:val="21"/>
              </w:rPr>
              <w:t>Pozicija tvarkinga.</w:t>
            </w:r>
            <w:r>
              <w:rPr>
                <w:b w:val="0"/>
                <w:color w:val="1A1A1A"/>
                <w:sz w:val="21"/>
              </w:rPr>
              <w:t xml:space="preserve"> LATRAPS – 1 214 Latvijos ūkininkų kooperatyvas; 2025/26 m. pelnas 2,8 mln. EUR, abiejų obligacijų sąlygų laikomasi: koreguota kapitalo dalis 29,4 % (riba 20 %), EBITDA / palūkanos 2,7 karto (riba 2,0)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A1A1A"/>
                <w:sz w:val="21"/>
              </w:rPr>
              <w:t>. Stebėtina: skola auga dėl 132 mln. EUR žirnių baltymų gamyklos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Pajamos</w:t>
            </w:r>
            <w:r>
              <w:rPr>
                <w:b w:val="0"/>
                <w:color w:val="5F6B7A"/>
                <w:sz w:val="14"/>
              </w:rPr>
              <w:t xml:space="preserve">  ·  FY2026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240,2</w:t>
            </w:r>
            <w:r>
              <w:rPr>
                <w:b w:val="0"/>
                <w:color w:val="5F6B7A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5,5 %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Grynasis pelnas</w:t>
            </w:r>
            <w:r>
              <w:rPr>
                <w:b w:val="0"/>
                <w:color w:val="5F6B7A"/>
                <w:sz w:val="14"/>
              </w:rPr>
              <w:t xml:space="preserve">  ·  FY2026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2,77</w:t>
            </w:r>
            <w:r>
              <w:rPr>
                <w:b w:val="0"/>
                <w:color w:val="5F6B7A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▲ 1,1 %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Nuosavo kapitalo dalis</w:t>
            </w:r>
            <w:r>
              <w:rPr>
                <w:b w:val="0"/>
                <w:color w:val="5F6B7A"/>
                <w:sz w:val="14"/>
              </w:rPr>
              <w:t xml:space="preserve">  ·  FY2026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29,4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3,4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EBITDA / palūkanos</w:t>
            </w:r>
            <w:r>
              <w:rPr>
                <w:b w:val="0"/>
                <w:color w:val="5F6B7A"/>
                <w:sz w:val="14"/>
              </w:rPr>
              <w:t xml:space="preserve">  ·  FY2026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2,7</w:t>
            </w:r>
            <w:r>
              <w:rPr>
                <w:b w:val="0"/>
                <w:color w:val="5F6B7A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• 0x vs FY2025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F4E79"/>
          <w:sz w:val="28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Laikotarpiai:</w:t>
      </w:r>
      <w:r>
        <w:rPr>
          <w:b w:val="0"/>
        </w:rPr>
        <w:t xml:space="preserve"> finansiniai metai – liepos 1 d.–birželio 30 d.; FY2026 = 2025-07–2026-06, 6M2026 = 2025-07–2025-12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Pardavimai mažesni, pelnas stabilus:</w:t>
      </w:r>
      <w:r>
        <w:rPr>
          <w:b w:val="0"/>
        </w:rPr>
        <w:t xml:space="preserve"> pajamos 240,2 mln. EUR (254,3 mln.), pelnas 2,77 mln. EUR (2,74 mln.), tai 1,1 % apyvartos; grūdų kainos išliko žemos, dalis derliaus neatitiko maistinių reikalavimų dėl drėgno oro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Sąlygų laikomasi:</w:t>
      </w:r>
      <w:r>
        <w:rPr>
          <w:b w:val="0"/>
        </w:rPr>
        <w:t xml:space="preserve"> koreguota kapitalo dalis 29,4 % (32,8 %), riba ≥20 %; koreguota EBITDA / palūkanos 2,7 karto (2,7), riba ≥2,0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Skola auga:</w:t>
      </w:r>
      <w:r>
        <w:rPr>
          <w:b w:val="0"/>
        </w:rPr>
        <w:t xml:space="preserve"> grynoji skola apie 62,4 mln. EUR (prieš metus 45,1 mln.; apskaičiuota įrankio), turtas 142,0 mln. EUR (121,4 mln.)</w:t>
      </w:r>
      <w:hyperlink r:id="rId19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F4E79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2608"/>
        <w:gridCol w:w="963"/>
        <w:gridCol w:w="1304"/>
        <w:gridCol w:w="3061"/>
      </w:tblGrid>
      <w:tr>
        <w:tc>
          <w:tcPr>
            <w:tcW w:type="dxa" w:w="170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ISIN</w:t>
            </w:r>
          </w:p>
        </w:tc>
        <w:tc>
          <w:tcPr>
            <w:tcW w:type="dxa" w:w="260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Priemonė</w:t>
            </w:r>
          </w:p>
        </w:tc>
        <w:tc>
          <w:tcPr>
            <w:tcW w:type="dxa" w:w="96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Kuponas</w:t>
            </w:r>
          </w:p>
        </w:tc>
        <w:tc>
          <w:tcPr>
            <w:tcW w:type="dxa" w:w="130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Išpirkimas</w:t>
            </w:r>
          </w:p>
        </w:tc>
        <w:tc>
          <w:tcPr>
            <w:tcW w:type="dxa" w:w="306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Pastaba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LV0000805349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LATRAPS 7.5% bond 2028 (First North)</w:t>
            </w:r>
          </w:p>
        </w:tc>
        <w:tc>
          <w:tcPr>
            <w:tcW w:type="dxa" w:w="9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7,5 %</w:t>
            </w:r>
          </w:p>
        </w:tc>
        <w:tc>
          <w:tcPr>
            <w:tcW w:type="dxa" w:w="130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2028-12-12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Quarterly coupon; listed 2025-03-05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F4E79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Rodiklis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6M2026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FY2026</w:t>
            </w:r>
          </w:p>
        </w:tc>
        <w:tc>
          <w:tcPr>
            <w:tcW w:type="dxa" w:w="214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167,4*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254,3*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151,8*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240,2*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5,5 %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4,13*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4,55*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1,1 %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105,1*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121,4*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119,6*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142,0*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17,0 %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34,4*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38,5*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36,7*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6,7 %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39,8 %*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32,8 %*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37,1 %*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29,4 %*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3,4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 / palūkanos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2,7x*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• 0x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45,1ᶜ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62,4ᶜ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38,4 %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5F6B7A"/>
          <w:sz w:val="16"/>
        </w:rPr>
        <w:t>Spalvos: žalias pokytis – rodiklis gerėja, raudonas – blogėja. Paskutinio laikotarpio langelio fonas: žalias – geras lygis, geltonas – vidutinis, raudonas – silpnas (įrankio orientyrai, config/metric_rules.yaml).</w:t>
      </w:r>
    </w:p>
    <w:p>
      <w:pPr>
        <w:spacing w:before="40" w:after="60"/>
      </w:pPr>
      <w:r>
        <w:rPr>
          <w:b w:val="0"/>
          <w:color w:val="5F6B7A"/>
          <w:sz w:val="16"/>
        </w:rPr>
        <w:t>* – paimta iš ataskaitos santraukos;  ᶜ – apskaičiuota įrankio.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raps_l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F4E79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Kooperatyvas superka, sandėliuoja ir eksportuoja narių grūdus ir rapsus (beveik 30 šalių); sandėlių talpa beveik 220 000 t; valdo LATMALT (salyklas, 100 %)</w:t>
      </w:r>
      <w:hyperlink r:id="rId2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color w:val="2A78D6"/>
          <w:vertAlign w:val="superscript"/>
        </w:rPr>
        <w:t>,</w:t>
      </w:r>
      <w:hyperlink r:id="rId2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Jelgavoje statoma žirnių baltymų gamykla (ASNS Ingredient, 51,42 %): iki 70 000 t žirnių per metus, investicija 132 mln. EUR, pabaiga planuojama 2027 m. I pusm.</w:t>
      </w:r>
      <w:hyperlink r:id="rId28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2026-09 baigtos 4,2 mln. EUR investicijos į Jaunpagasto, Aizkrauklės ir Jēkabpilio sandėlius (ES lėšos); parduota Alpha Osta dalis</w:t>
      </w:r>
      <w:hyperlink r:id="rId30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F4E79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Bendrasis pelnas 16,9 mln. EUR (17,6 mln.), palūkanų sąnaudos 2,86 mln. EUR (2,71 mln.)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Nuosavas kapitalas 36,7 mln. EUR (34,4 mln.)</w:t>
      </w:r>
      <w:hyperlink r:id="rId24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EBITDA atskirai neskelbiama; skelbiamas tik kovenanto rodiklis EBITDA / palūkanos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F4E79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Planas / tikslas</w:t>
            </w:r>
          </w:p>
        </w:tc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Rezultatas</w:t>
            </w:r>
          </w:p>
        </w:tc>
        <w:tc>
          <w:tcPr>
            <w:tcW w:type="dxa" w:w="313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Kas pasikeitė ir kodėl</w:t>
            </w:r>
          </w:p>
        </w:tc>
        <w:tc>
          <w:tcPr>
            <w:tcW w:type="dxa" w:w="1345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Žirnių baltymų gamykla Jelgavoje (132 mln. EUR) – pabaiga 2027 m. I pusm.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Statoma; terminas nepakeistas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 pagal planą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Sandėlių investicijos (4,2 mln. EUR, ES lėšos)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Baigta 2026-09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Parduoti Alpha Osta dalį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Pardavimas užbaigtas</w:t>
            </w:r>
            <w:hyperlink r:id="rId31">
              <w:r>
                <w:rPr>
                  <w:color w:val="2A78D6"/>
                  <w:vertAlign w:val="superscript"/>
                  <w:sz w:val="14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0">
              <w:r>
                <w:rPr>
                  <w:color w:val="2A78D6"/>
                  <w:vertAlign w:val="superscript"/>
                  <w:sz w:val="14"/>
                </w:rPr>
                <w:t xml:space="preserve">23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30">
              <w:r>
                <w:rPr>
                  <w:color w:val="2A78D6"/>
                  <w:vertAlign w:val="superscript"/>
                  <w:sz w:val="14"/>
                </w:rPr>
                <w:t xml:space="preserve">23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F4E79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7,5 % obligacija, 8 mln. EUR, išleista 2024-12, išpirkimas 2028-12-12, kuponas kas ketvirtį; Nasdaq Riga First North nuo 2025-03-05</w:t>
      </w:r>
      <w:hyperlink r:id="rId32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color w:val="2A78D6"/>
          <w:vertAlign w:val="superscript"/>
        </w:rPr>
        <w:t>,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Sąlygos:</w:t>
      </w:r>
      <w:r>
        <w:rPr>
          <w:b w:val="0"/>
        </w:rPr>
        <w:t xml:space="preserve"> koreguota kapitalo dalis ≥20 % (yra 29,4 %), koreguota EBITDA ≥2 kartų palūkanų (yra 2,7) – laikomasi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 Rezervas iki ribų sumažėjo per metus (kapitalo dalis 32,8 % → 29,4 %).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Eilė ir užtikrinimas:</w:t>
      </w:r>
      <w:r>
        <w:rPr>
          <w:b w:val="0"/>
        </w:rPr>
        <w:t xml:space="preserve"> obligacija sudaro mažą skolos dalį (8 iš ~63,5 mln. EUR); rangas ir užtikrinimas ataskaitose nerasti</w:t>
      </w:r>
      <w:hyperlink r:id="rId34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vidutinė rizika – maža pelno marža ir auganti skola, bet sąlygų laikomasi ir pelnas stabilus.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F4E79"/>
          <w:sz w:val="28"/>
        </w:rPr>
        <w:t>Ką rašo spauda</w:t>
      </w:r>
    </w:p>
    <w:p>
      <w:pPr>
        <w:spacing w:before="40" w:after="60"/>
      </w:pPr>
      <w:r>
        <w:rPr>
          <w:b w:val="0"/>
          <w:color w:val="5F6B7A"/>
          <w:sz w:val="18"/>
        </w:rPr>
        <w:t>Automatinė naujienų paieška (Google News, LV), 2026-07-24 – 2026-10-22: 1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2026-10-19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5">
              <w:r>
                <w:rPr>
                  <w:color w:val="1A1A1A"/>
                  <w:sz w:val="18"/>
                </w:rPr>
                <w:t xml:space="preserve">LATRAPS nopelnījis 2,7 miljonus eiro</w:t>
              </w:r>
            </w:hyperlink>
            <w:r>
              <w:rPr>
                <w:b w:val="0"/>
                <w:color w:val="5F6B7A"/>
                <w:sz w:val="15"/>
              </w:rPr>
              <w:t xml:space="preserve">   Investoru Klubs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F4E79"/>
          <w:sz w:val="28"/>
        </w:rPr>
        <w:t>ESG report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Grūdų ir rapsų prekyba bei perdirbimas ES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žemės ūkio politikos apribotos veiklos (miškų kirtimas, nesertifikuotas palmių aliejus ar soja) nenustatytos</w:t>
            </w:r>
            <w:hyperlink r:id="rId36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7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Baudų, pažeidimų ar skundų nėra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Korupcijos nuosprendžių nėra</w:t>
            </w:r>
            <w:hyperlink r:id="rId38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UK, US OFAC konsoliduotuose sankcijų sąrašuose (automatinė patikra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2026-07-24 – 2026-10-22: 1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Žirnių baltymų gamykla – augalinių baltymų gamyba iš vietinių žaliavų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Tikslai: atsinaujinančios energijos +50 % per penkerius metus, 10 elektromobilių per metus</w:t>
            </w:r>
            <w:hyperlink r:id="rId39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Raudonų signalų nėra.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Bendrovė nurodo, kad oficialaus klimato rizikos vertinimo dar neatliko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Žemės ūkio politika</w:t>
            </w:r>
            <w:hyperlink r:id="rId37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Pirmoji tvarumo ataskaita pagal ESRS / VSME, pranešimų apie pažeidimus kanalas, nulinės nelaimingų atsitikimų darbe tikslas</w:t>
            </w:r>
            <w:hyperlink r:id="rId41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Klimato rizikos vertinimas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tvarumo ataskaita pradėta skelbti, rimtų trūkumų nerasta.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Skelbiamos 1 apimties CO2 emisijos ir darbuotojų skaičius (trejų metų duomenys)</w:t>
            </w:r>
            <w:hyperlink r:id="rId42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Pirmoji tvarumo ataskaita paskelbta; klimato rizikos vertinimas dar neatliktas.</w:t>
      </w:r>
    </w:p>
    <w:p>
      <w:pPr>
        <w:spacing w:before="40" w:after="60"/>
      </w:pPr>
      <w:r>
        <w:rPr>
          <w:b w:val="0"/>
          <w:color w:val="5F6B7A"/>
          <w:sz w:val="16"/>
        </w:rPr>
        <w:t>Taikytos SEB politikos: Policy on Sustainability Considerations in Investments (SEB AB); Agriculture, Fishing, Aquaculture and Animal Welfare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F4E79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LATRAPS - Annual report FY2024/25 (audited, KPMG Baltics), p. 10,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LATRAPS - 12-month report FY2025/26 (unaudited, local GAAP), p. 12, 20,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LATRAPS - Sustainability report FY2025/26, p. 6,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LATRAPS - 12-month report FY2025/26 (unaudited, local GAAP), p. 7,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5.</w:t>
        <w:tab/>
      </w:r>
      <w:hyperlink r:id="rId13">
        <w:r>
          <w:rPr>
            <w:color w:val="2A78D6"/>
            <w:sz w:val="17"/>
          </w:rPr>
          <w:t xml:space="preserve">LATRAPS - 12-month report FY2025/26 (unaudited, local GAAP), p. 12,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LATRAPS - 6-month report H1 FY2025/26 (Jul-Dec 2025, unaudited), p. 12,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LATRAPS - 12-month report FY2025/26 (unaudited, local GAAP), p. 4-5, 7, 12,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LATRAPS - 12-month report FY2025/26 (unaudited, local GAAP), p. 20,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9.</w:t>
        <w:tab/>
      </w:r>
      <w:hyperlink r:id="rId19">
        <w:r>
          <w:rPr>
            <w:color w:val="2A78D6"/>
            <w:sz w:val="17"/>
          </w:rPr>
          <w:t xml:space="preserve">LATRAPS - 12-month report FY2025/26 (unaudited, local GAAP), p. 13-14, 18-19,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10.</w:t>
        <w:tab/>
      </w:r>
      <w:hyperlink r:id="rId20">
        <w:r>
          <w:rPr>
            <w:color w:val="2A78D6"/>
            <w:sz w:val="17"/>
          </w:rPr>
          <w:t xml:space="preserve">LATRAPS - Annual report FY2024/25 (audited, KPMG Baltics), p. 11,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11.</w:t>
        <w:tab/>
      </w:r>
      <w:hyperlink r:id="rId21">
        <w:r>
          <w:rPr>
            <w:color w:val="2A78D6"/>
            <w:sz w:val="17"/>
          </w:rPr>
          <w:t xml:space="preserve">LATRAPS - 6-month report H1 FY2025/26 (Jul-Dec 2025, unaudited), p.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12.</w:t>
        <w:tab/>
      </w:r>
      <w:hyperlink r:id="rId22">
        <w:r>
          <w:rPr>
            <w:color w:val="2A78D6"/>
            <w:sz w:val="17"/>
          </w:rPr>
          <w:t xml:space="preserve">LATRAPS - Annual report FY2024/25 (audited, KPMG Baltics), p. 12,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13.</w:t>
        <w:tab/>
      </w:r>
      <w:hyperlink r:id="rId19">
        <w:r>
          <w:rPr>
            <w:color w:val="2A78D6"/>
            <w:sz w:val="17"/>
          </w:rPr>
          <w:t xml:space="preserve">LATRAPS - 12-month report FY2025/26 (unaudited, local GAAP), p. 13,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14.</w:t>
        <w:tab/>
      </w:r>
      <w:hyperlink r:id="rId23">
        <w:r>
          <w:rPr>
            <w:color w:val="2A78D6"/>
            <w:sz w:val="17"/>
          </w:rPr>
          <w:t xml:space="preserve">LATRAPS - 6-month report H1 FY2025/26 (Jul-Dec 2025, unaudited),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LATRAPS - 12-month report FY2025/26 (unaudited, local GAAP), p. 14,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16.</w:t>
        <w:tab/>
      </w:r>
      <w:hyperlink r:id="rId25">
        <w:r>
          <w:rPr>
            <w:color w:val="2A78D6"/>
            <w:sz w:val="17"/>
          </w:rPr>
          <w:t xml:space="preserve">LATRAPS - 6-month report H1 FY2025/26 (Jul-Dec 2025, unaudited), p. 20,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17.</w:t>
        <w:tab/>
      </w:r>
      <w:hyperlink r:id="rId26">
        <w:r>
          <w:rPr>
            <w:color w:val="2A78D6"/>
            <w:sz w:val="17"/>
          </w:rPr>
          <w:t xml:space="preserve">LATRAPS - Annual report FY2024/25 (audited, KPMG Baltics),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18.</w:t>
        <w:tab/>
      </w:r>
      <w:hyperlink r:id="rId28">
        <w:r>
          <w:rPr>
            <w:color w:val="2A78D6"/>
            <w:sz w:val="17"/>
          </w:rPr>
          <w:t xml:space="preserve">LATRAPS - 12-month report FY2025/26 (unaudited, local GAAP), p. 1, 5,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19.</w:t>
        <w:tab/>
      </w:r>
      <w:hyperlink r:id="rId29">
        <w:r>
          <w:rPr>
            <w:color w:val="2A78D6"/>
            <w:sz w:val="17"/>
          </w:rPr>
          <w:t xml:space="preserve">LATRAPS - 6-month report H1 FY2025/26 (Jul-Dec 2025, unaudited),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LATRAPS - 12-month report FY2025/26 (unaudited, local GAAP), p. 1, 7,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21.</w:t>
        <w:tab/>
      </w:r>
      <w:hyperlink r:id="rId30">
        <w:r>
          <w:rPr>
            <w:color w:val="2A78D6"/>
            <w:sz w:val="17"/>
          </w:rPr>
          <w:t xml:space="preserve">LATRAPS - 12-month report FY2025/26 (unaudited, local GAAP), p. 2, 7,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22.</w:t>
        <w:tab/>
      </w:r>
      <w:hyperlink r:id="rId31">
        <w:r>
          <w:rPr>
            <w:color w:val="2A78D6"/>
            <w:sz w:val="17"/>
          </w:rPr>
          <w:t xml:space="preserve">LATRAPS - Annual report FY2024/25 (audited, KPMG Baltics), p. 8,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23.</w:t>
        <w:tab/>
      </w:r>
      <w:hyperlink r:id="rId30">
        <w:r>
          <w:rPr>
            <w:color w:val="2A78D6"/>
            <w:sz w:val="17"/>
          </w:rPr>
          <w:t xml:space="preserve">LATRAPS - 12-month report FY2025/26 (unaudited, local GAAP), p. 2,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Nasdaq Baltic - LATRAPS 7.5% bond LV0000805349,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LATRAPS - 12-month report FY2025/26 (unaudited, local GAAP), p. 19,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LATRAPS - 12-month report FY2025/26 (unaudited, local GAAP), p. 18-19,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27.</w:t>
        <w:tab/>
      </w:r>
      <w:hyperlink r:id="rId36">
        <w:r>
          <w:rPr>
            <w:color w:val="2A78D6"/>
            <w:sz w:val="17"/>
          </w:rPr>
          <w:t xml:space="preserve">LATRAPS - 12-month report FY2025/26 (unaudited, local GAAP), p. 5,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28.</w:t>
        <w:tab/>
      </w:r>
      <w:hyperlink r:id="rId37">
        <w:r>
          <w:rPr>
            <w:color w:val="2A78D6"/>
            <w:sz w:val="17"/>
          </w:rPr>
          <w:t xml:space="preserve">SEB Agriculture, Fishing, Aquaculture and Animal Welfare sector policy (2026-04-23), p. 6-10,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29.</w:t>
        <w:tab/>
      </w:r>
      <w:hyperlink r:id="rId38">
        <w:r>
          <w:rPr>
            <w:color w:val="2A78D6"/>
            <w:sz w:val="17"/>
          </w:rPr>
          <w:t xml:space="preserve">LATRAPS - Sustainability report FY2025/26, p. 23, 37,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30.</w:t>
        <w:tab/>
      </w:r>
      <w:hyperlink r:id="rId39">
        <w:r>
          <w:rPr>
            <w:color w:val="2A78D6"/>
            <w:sz w:val="17"/>
          </w:rPr>
          <w:t xml:space="preserve">LATRAPS - Sustainability report FY2025/26, p. 19,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31.</w:t>
        <w:tab/>
      </w:r>
      <w:hyperlink r:id="rId40">
        <w:r>
          <w:rPr>
            <w:color w:val="2A78D6"/>
            <w:sz w:val="17"/>
          </w:rPr>
          <w:t xml:space="preserve">LATRAPS - Sustainability report FY2025/26, p. 18,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32.</w:t>
        <w:tab/>
      </w:r>
      <w:hyperlink r:id="rId37">
        <w:r>
          <w:rPr>
            <w:color w:val="2A78D6"/>
            <w:sz w:val="17"/>
          </w:rPr>
          <w:t xml:space="preserve">SEB Agriculture, Fishing, Aquaculture and Animal Welfare sector policy (2026-04-23), p. 5-10,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33.</w:t>
        <w:tab/>
      </w:r>
      <w:hyperlink r:id="rId41">
        <w:r>
          <w:rPr>
            <w:color w:val="2A78D6"/>
            <w:sz w:val="17"/>
          </w:rPr>
          <w:t xml:space="preserve">LATRAPS - Sustainability report FY2025/26, p. 3, 19, 36,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34.</w:t>
        <w:tab/>
      </w:r>
      <w:hyperlink r:id="rId42">
        <w:r>
          <w:rPr>
            <w:color w:val="2A78D6"/>
            <w:sz w:val="17"/>
          </w:rPr>
          <w:t xml:space="preserve">LATRAPS - Sustainability report FY2025/26, p. 22, 27, 2026-09-30</w:t>
        </w:r>
      </w:hyperlink>
    </w:p>
    <w:p>
      <w:pPr>
        <w:spacing w:before="40" w:after="60"/>
      </w:pPr>
      <w:r>
        <w:rPr>
          <w:b w:val="0"/>
          <w:color w:val="5F6B7A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LATRAPS · FY2026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LATRAPS · FY2026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C9D3DE" w:space="4"/>
      </w:pBdr>
      <w:tabs>
        <w:tab w:pos="9638" w:val="right"/>
      </w:tabs>
    </w:pPr>
    <w:r>
      <w:rPr>
        <w:b/>
        <w:color w:val="1F4E79"/>
        <w:sz w:val="16"/>
      </w:rPr>
      <w:t>LATRAPS</w:t>
    </w:r>
    <w:r>
      <w:rPr>
        <w:b w:val="0"/>
        <w:color w:val="5F6B7A"/>
        <w:sz w:val="16"/>
      </w:rPr>
      <w:tab/>
      <w:t>Emitento apžvalga · FY2026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latra/2025_ar_en_las.pdf#page=10" TargetMode="External"/><Relationship Id="rId13" Type="http://schemas.openxmlformats.org/officeDocument/2006/relationships/hyperlink" Target="https://nasdaqbaltic.com/market/upload/reports/latra/2026_q4_en_las.pdf#page=12" TargetMode="External"/><Relationship Id="rId14" Type="http://schemas.openxmlformats.org/officeDocument/2006/relationships/hyperlink" Target="https://nasdaqbaltic.com/market/upload/reports/latra/2026_esg_en.pdf#page=6" TargetMode="External"/><Relationship Id="rId15" Type="http://schemas.openxmlformats.org/officeDocument/2006/relationships/hyperlink" Target="https://nasdaqbaltic.com/market/upload/reports/latra/2026_q4_en_las.pdf#page=7" TargetMode="External"/><Relationship Id="rId16" Type="http://schemas.openxmlformats.org/officeDocument/2006/relationships/hyperlink" Target="https://nasdaqbaltic.com/market/upload/reports/latra/2026_q2_en_las.pdf#page=12" TargetMode="External"/><Relationship Id="rId17" Type="http://schemas.openxmlformats.org/officeDocument/2006/relationships/hyperlink" Target="https://nasdaqbaltic.com/market/upload/reports/latra/2026_q4_en_las.pdf#page=4" TargetMode="External"/><Relationship Id="rId18" Type="http://schemas.openxmlformats.org/officeDocument/2006/relationships/hyperlink" Target="https://nasdaqbaltic.com/market/upload/reports/latra/2026_q4_en_las.pdf#page=20" TargetMode="External"/><Relationship Id="rId19" Type="http://schemas.openxmlformats.org/officeDocument/2006/relationships/hyperlink" Target="https://nasdaqbaltic.com/market/upload/reports/latra/2026_q4_en_las.pdf#page=13" TargetMode="External"/><Relationship Id="rId20" Type="http://schemas.openxmlformats.org/officeDocument/2006/relationships/hyperlink" Target="https://nasdaqbaltic.com/market/upload/reports/latra/2025_ar_en_las.pdf#page=11" TargetMode="External"/><Relationship Id="rId21" Type="http://schemas.openxmlformats.org/officeDocument/2006/relationships/hyperlink" Target="https://nasdaqbaltic.com/market/upload/reports/latra/2026_q2_en_las.pdf#page=13" TargetMode="External"/><Relationship Id="rId22" Type="http://schemas.openxmlformats.org/officeDocument/2006/relationships/hyperlink" Target="https://nasdaqbaltic.com/market/upload/reports/latra/2025_ar_en_las.pdf#page=12" TargetMode="External"/><Relationship Id="rId23" Type="http://schemas.openxmlformats.org/officeDocument/2006/relationships/hyperlink" Target="https://nasdaqbaltic.com/market/upload/reports/latra/2026_q2_en_las.pdf#page=14" TargetMode="External"/><Relationship Id="rId24" Type="http://schemas.openxmlformats.org/officeDocument/2006/relationships/hyperlink" Target="https://nasdaqbaltic.com/market/upload/reports/latra/2026_q4_en_las.pdf#page=14" TargetMode="External"/><Relationship Id="rId25" Type="http://schemas.openxmlformats.org/officeDocument/2006/relationships/hyperlink" Target="https://nasdaqbaltic.com/market/upload/reports/latra/2026_q2_en_las.pdf#page=20" TargetMode="External"/><Relationship Id="rId26" Type="http://schemas.openxmlformats.org/officeDocument/2006/relationships/hyperlink" Target="https://nasdaqbaltic.com/market/upload/reports/latra/2025_ar_en_las.pdf" TargetMode="External"/><Relationship Id="rId27" Type="http://schemas.openxmlformats.org/officeDocument/2006/relationships/image" Target="media/image1.png"/><Relationship Id="rId28" Type="http://schemas.openxmlformats.org/officeDocument/2006/relationships/hyperlink" Target="https://nasdaqbaltic.com/market/upload/reports/latra/2026_q4_en_las.pdf#page=1" TargetMode="External"/><Relationship Id="rId29" Type="http://schemas.openxmlformats.org/officeDocument/2006/relationships/hyperlink" Target="https://nasdaqbaltic.com/market/upload/reports/latra/2026_q2_en_las.pdf#page=8" TargetMode="External"/><Relationship Id="rId30" Type="http://schemas.openxmlformats.org/officeDocument/2006/relationships/hyperlink" Target="https://nasdaqbaltic.com/market/upload/reports/latra/2026_q4_en_las.pdf#page=2" TargetMode="External"/><Relationship Id="rId31" Type="http://schemas.openxmlformats.org/officeDocument/2006/relationships/hyperlink" Target="https://nasdaqbaltic.com/market/upload/reports/latra/2025_ar_en_las.pdf#page=8" TargetMode="External"/><Relationship Id="rId32" Type="http://schemas.openxmlformats.org/officeDocument/2006/relationships/hyperlink" Target="https://nasdaqbaltic.com/statistics/en/instrument/LV0000805349/security?date=2026-10-22" TargetMode="External"/><Relationship Id="rId33" Type="http://schemas.openxmlformats.org/officeDocument/2006/relationships/hyperlink" Target="https://nasdaqbaltic.com/market/upload/reports/latra/2026_q4_en_las.pdf#page=19" TargetMode="External"/><Relationship Id="rId34" Type="http://schemas.openxmlformats.org/officeDocument/2006/relationships/hyperlink" Target="https://nasdaqbaltic.com/market/upload/reports/latra/2026_q4_en_las.pdf#page=18" TargetMode="External"/><Relationship Id="rId35" Type="http://schemas.openxmlformats.org/officeDocument/2006/relationships/hyperlink" Target="https://news.google.com/rss/articles/CBMilgFBVV95cUxOTTF2aGhsTm1aWXpIdW5PcGdwc1FiV3JLTnFER0w2RlNoX0dXY0JVbjV1UUNLWV9FbE1VdzVyeVI3VlRCbEtkS01ZMlN0YW42cVBheUltdnlVNVZYSk1QcHBkUmhNT3BSQkd3WFZrR3FqemlyX05QRFNCRk1TYjhlbFI0dW8wWjZEMGRNcjNYeXo4cDBNR2c?oc=5" TargetMode="External"/><Relationship Id="rId36" Type="http://schemas.openxmlformats.org/officeDocument/2006/relationships/hyperlink" Target="https://nasdaqbaltic.com/market/upload/reports/latra/2026_q4_en_las.pdf#page=5" TargetMode="External"/><Relationship Id="rId37" Type="http://schemas.openxmlformats.org/officeDocument/2006/relationships/hyperlink" Target="https://sebgroup.com/sustainability/our-sustainability-strategy/policies" TargetMode="External"/><Relationship Id="rId38" Type="http://schemas.openxmlformats.org/officeDocument/2006/relationships/hyperlink" Target="https://nasdaqbaltic.com/market/upload/reports/latra/2026_esg_en.pdf#page=23" TargetMode="External"/><Relationship Id="rId39" Type="http://schemas.openxmlformats.org/officeDocument/2006/relationships/hyperlink" Target="https://nasdaqbaltic.com/market/upload/reports/latra/2026_esg_en.pdf#page=19" TargetMode="External"/><Relationship Id="rId40" Type="http://schemas.openxmlformats.org/officeDocument/2006/relationships/hyperlink" Target="https://nasdaqbaltic.com/market/upload/reports/latra/2026_esg_en.pdf#page=18" TargetMode="External"/><Relationship Id="rId41" Type="http://schemas.openxmlformats.org/officeDocument/2006/relationships/hyperlink" Target="https://nasdaqbaltic.com/market/upload/reports/latra/2026_esg_en.pdf#page=3" TargetMode="External"/><Relationship Id="rId42" Type="http://schemas.openxmlformats.org/officeDocument/2006/relationships/hyperlink" Target="https://nasdaqbaltic.com/market/upload/reports/latra/2026_esg_en.pdf#page=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