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52"/>
              </w:rPr>
              <w:t>Latvenergo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1B7F3B"/>
                <w:sz w:val="19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Reitingas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Moody's Baa2, stable outlook (affirmed October 2025)</w:t>
            </w:r>
            <w:hyperlink r:id="rId12">
              <w:r>
                <w:rPr>
                  <w:color w:val="2A78D6"/>
                  <w:vertAlign w:val="superscript"/>
                  <w:sz w:val="16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6"/>
                </w:rPr>
                <w:t xml:space="preserve">2</w:t>
              </w:r>
            </w:hyperlink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9M 2026 interim report - 2026-11-30</w:t>
            </w:r>
            <w:hyperlink r:id="rId14">
              <w:r>
                <w:rPr>
                  <w:color w:val="2A78D6"/>
                  <w:vertAlign w:val="superscript"/>
                  <w:sz w:val="16"/>
                </w:rPr>
                <w:t xml:space="preserve">3</w:t>
              </w:r>
            </w:hyperlink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Pozicija tvarkinga.</w:t>
            </w:r>
            <w:r>
              <w:rPr>
                <w:b w:val="0"/>
                <w:color w:val="1A1A1A"/>
                <w:sz w:val="21"/>
              </w:rPr>
              <w:t xml:space="preserve"> I pusm. pelnas 144,6 mln. EUR (+7 %), reitingas Baa2 stabilus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 Skola auga dėl didelių investicijų į atsinaujinančią energetiką: grynoji skola / EBITDA 2,4x (prieš metus 1,5x), tačiau FFO / grynoji skola 35 % vis dar viršija strategijos tikslą (&gt;25 %)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EBITDA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284,6</w:t>
            </w:r>
            <w:r>
              <w:rPr>
                <w:b w:val="0"/>
                <w:color w:val="5F6B7A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4,7 %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Grynasis pelnas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144,6</w:t>
            </w:r>
            <w:r>
              <w:rPr>
                <w:b w:val="0"/>
                <w:color w:val="5F6B7A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6,9 %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Grynoji skola / EBITDA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2,4</w:t>
            </w:r>
            <w:r>
              <w:rPr>
                <w:b w:val="0"/>
                <w:color w:val="5F6B7A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0,9x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FFO / grynoji skola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35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22 p. p. vs 6M2025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auga:</w:t>
      </w:r>
      <w:r>
        <w:rPr>
          <w:b w:val="0"/>
        </w:rPr>
        <w:t xml:space="preserve"> I pusm. pajamos 941,8 mln. EUR (+11 %), EBITDA 284,6 mln. EUR (+5 %), grynasis pelnas 144,6 mln. EUR (135,3 mln.)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Daugiau gamybos:</w:t>
      </w:r>
      <w:r>
        <w:rPr>
          <w:b w:val="0"/>
        </w:rPr>
        <w:t xml:space="preserve"> pagaminta 3 336 GWh elektros, prieš metus 2 603 GWh. 2025 m. 66 % elektros pagaminta iš atsinaujinančių šaltinių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auga dėl investicijų:</w:t>
      </w:r>
      <w:r>
        <w:rPr>
          <w:b w:val="0"/>
        </w:rPr>
        <w:t xml:space="preserve"> grynoji skola 1 372,1 mln. EUR (843,1 mln.), grynoji skola / EBITDA 2,4x (1,5x). Investicijos per pusmetį 255,5 mln. EUR, 2025 m. – rekordinės 792,1 mln. EUR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Finansavimas pigus:</w:t>
      </w:r>
      <w:r>
        <w:rPr>
          <w:b w:val="0"/>
        </w:rPr>
        <w:t xml:space="preserve"> 2026 m. birželį išleista 300 mln. EUR 7 metų žaliųjų obligacijų, pajamingumas 1,3 %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701"/>
        <w:gridCol w:w="2608"/>
        <w:gridCol w:w="963"/>
        <w:gridCol w:w="1304"/>
        <w:gridCol w:w="3061"/>
      </w:tblGrid>
      <w:tr>
        <w:tc>
          <w:tcPr>
            <w:tcW w:type="dxa" w:w="170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60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Priemonė</w:t>
            </w:r>
          </w:p>
        </w:tc>
        <w:tc>
          <w:tcPr>
            <w:tcW w:type="dxa" w:w="9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Kuponas</w:t>
            </w:r>
          </w:p>
        </w:tc>
        <w:tc>
          <w:tcPr>
            <w:tcW w:type="dxa" w:w="130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Išpirkimas</w:t>
            </w:r>
          </w:p>
        </w:tc>
        <w:tc>
          <w:tcPr>
            <w:tcW w:type="dxa" w:w="306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Pastaba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LV0000802684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4.952% 6Y green bond</w:t>
            </w:r>
          </w:p>
        </w:tc>
        <w:tc>
          <w:tcPr>
            <w:tcW w:type="dxa" w:w="9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4,952 %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2029-02-22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LV0000870129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2.42% 5Y green bond</w:t>
            </w:r>
          </w:p>
        </w:tc>
        <w:tc>
          <w:tcPr>
            <w:tcW w:type="dxa" w:w="9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2,42 %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2027-05-05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LV0000802460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0.5% 7Y green bond</w:t>
            </w:r>
          </w:p>
        </w:tc>
        <w:tc>
          <w:tcPr>
            <w:tcW w:type="dxa" w:w="9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0,5 %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2028-05-17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XS3227294132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3.612% 5Y green bond</w:t>
            </w:r>
          </w:p>
        </w:tc>
        <w:tc>
          <w:tcPr>
            <w:tcW w:type="dxa" w:w="9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3,612 %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2030-11-13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Rodiklis</w:t>
            </w:r>
          </w:p>
        </w:tc>
        <w:tc>
          <w:tcPr>
            <w:tcW w:type="dxa" w:w="131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131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6M2025</w:t>
            </w:r>
          </w:p>
        </w:tc>
        <w:tc>
          <w:tcPr>
            <w:tcW w:type="dxa" w:w="131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6M2026</w:t>
            </w:r>
          </w:p>
        </w:tc>
        <w:tc>
          <w:tcPr>
            <w:tcW w:type="dxa" w:w="24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Pokytis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1 566,1*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847,1*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941,8*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11,2 %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271,7*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284,6*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4,7 %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198,8*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135,3*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144,6*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6,9 %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792,1*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391,8*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255,5*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34,8 %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843,1*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1 372,1*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62,7 %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2,4x*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0,9x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 / grynoji skola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57 %*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35 %*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22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5,2 %*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6,9 %*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1,7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2 969,5*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3 035,9*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2,2 %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4 967,5*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4 471,3*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5 259,6*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17,6 %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66,4 %ᶜ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57,7 %ᶜ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8,7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Pagaminta elektros, GWh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4 696*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2 603*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3 336*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28,2 %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tvenergo_l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Atsinaujinančios energetikos plėtra:</w:t>
      </w:r>
      <w:r>
        <w:rPr>
          <w:b w:val="0"/>
        </w:rPr>
        <w:t xml:space="preserve"> birželio pabaigoje įrengta 937 MW vėjo ir saulės jėgainių, patvirtintas 1 144 MW projektų portfelis; strategijos tikslas – 600 MW iki 2026 m., 2 300 MW iki 2030 m.</w:t>
      </w:r>
      <w:hyperlink r:id="rId22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Gamybos struktūra 2025 m.:</w:t>
      </w:r>
      <w:r>
        <w:rPr>
          <w:b w:val="0"/>
        </w:rPr>
        <w:t xml:space="preserve"> hidroelektrinės 2 882 GWh (61 %), dujomis kūrenamos Rygos termofikacinės elektrinės 1 587 GWh (34 %), vėjo ir saulės jėgainės 209 GWh (dalys apskaičiuotos įrankio)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2026-08-22 stipri audra sukėlė plačius elektros tiekimo sutrikimus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pajamos 1 566,1 mln. EUR (2024 m. – 1 703,6 mln.), pelnas 198,8 mln. EUR (273,7 mln., −74,8 mln.); FFO / grynoji skola 39 %</w:t>
      </w:r>
      <w:hyperlink r:id="rId17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Nuosavas kapitalas 3 035,9 mln. EUR, turtas 5 259,6 mln. EUR – nuosavo kapitalo dalis 57,7 % (apskaičiuota įrankio); ROE 6,9 % (5,2 %)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Dividendai valstybei:</w:t>
      </w:r>
      <w:r>
        <w:rPr>
          <w:b w:val="0"/>
        </w:rPr>
        <w:t xml:space="preserve"> 2026-05-27 patvirtinta 141,0 mln. EUR iš 2025 m. pelno, dviem dalimis po 70,5 mln. EUR (birželį ir iki lapkričio 30 d.)</w:t>
      </w:r>
      <w:hyperlink r:id="rId23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Planas / tikslas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Rezultatas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Kas pasikeitė ir kodėl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Strategija 2022–2026: ROE &gt;7 %, koreguotas FFO / grynoji skola &gt;25 %, Moody's reitingas ≥ Baa3, dividendai &gt;64 % pelno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2026: ROE 6,9 %, FFO / grynoji skola 35 %, reitingas Baa2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 dalies: reitingo ir FFO tikslai vykdomi; ROE (6,9 %) arti 7 % tikslo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Iš dalies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Pastatyti ar įsigyti 600 MW vėjo ir saulės jėgainių iki 2026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2026-06-30 – 937 MW įrengta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 su perviršiu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2 300 MW atsinaujinančių šaltinių iki 2030 m.; bent 250 MW / 500 MWh kaupimo iki 2030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Patvirtintas 1 144 MW projektų portfelis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Ilgalaikis tikslas, finansuojamas žaliosiomis obligacijomis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Klimato neutrali elektros gamyba iki 2040 m.; 1 apimties emisijas sumažinti 47 % iki 2030 m. (palyginti su 2021 m.)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– −17 %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Vykdoma; pažanga priklauso nuo dujinių elektrinių darbo valandų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keturios žaliosios obligacijos – 2,42 % 2027 (100 mln. EUR), 0,5 % 2028 (50 mln. EUR), 4,952 % 2029 (50 mln. EUR) ir 3,612 % 2030 (400 mln. EUR)</w:t>
      </w:r>
      <w:hyperlink r:id="rId26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 Moody's žaliosioms obligacijoms suteikė Baa2 reitingą</w:t>
      </w:r>
      <w:hyperlink r:id="rId30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Artimiausias išpirkimas:</w:t>
      </w:r>
      <w:r>
        <w:rPr>
          <w:b w:val="0"/>
        </w:rPr>
        <w:t xml:space="preserve"> 2,42 % obligacija – 2027-05-05. Bendrovė pinigų turi: 2026 m. birželį pasiskolinta 300 mln. EUR už 1,3 %</w:t>
      </w:r>
      <w:hyperlink r:id="rId27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Valstybės nuosavybė (100 %)</w:t>
      </w:r>
      <w:r>
        <w:rPr>
          <w:b w:val="0"/>
        </w:rPr>
        <w:t xml:space="preserve"> ir dividendų politika (&gt;64 % pelno) reiškia, kad dalis pinigų išeina valstybei, tačiau reitingo tikslas (≥ Baa3) apriboja skolinimąsi</w:t>
      </w:r>
      <w:hyperlink r:id="rId15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verslas pelningas, skolinimasis didėja pagal planą, kredito rodikliai – virš strategijos ribų.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Vadovai:</w:t>
      </w:r>
      <w:r>
        <w:rPr>
          <w:b w:val="0"/>
        </w:rPr>
        <w:t xml:space="preserve"> 2026-10-05 valdybos narys Māris Kuņickis palieka bendrovę</w:t>
      </w:r>
      <w:hyperlink r:id="rId31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Tet ir LMT:</w:t>
      </w:r>
      <w:r>
        <w:rPr>
          <w:b w:val="0"/>
        </w:rPr>
        <w:t xml:space="preserve"> 2026-10-22 rašyta, kad Latvenergo pasirengusi tęsti bendradarbiavimą Tet ir LMT dalių išpirkimo procese</w:t>
      </w:r>
      <w:hyperlink r:id="rId32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Dujų kainos:</w:t>
      </w:r>
      <w:r>
        <w:rPr>
          <w:b w:val="0"/>
        </w:rPr>
        <w:t xml:space="preserve"> 2026-10-14 bendrovės analitikė įspėjo, kad gamtinės dujos tokios brangios nebuvo keletą metų</w:t>
      </w:r>
      <w:hyperlink r:id="rId33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5F6B7A"/>
          <w:sz w:val="18"/>
        </w:rPr>
        <w:t>Automatinė naujienų paieška (Google News, LV), 2026-07-24 – 2026-10-22: 6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2026-10-05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1">
              <w:r>
                <w:rPr>
                  <w:color w:val="1A1A1A"/>
                  <w:sz w:val="18"/>
                </w:rPr>
                <w:t xml:space="preserve">"Latvenergo" valdes loceklis Māris Kuņickis atstāj darbu uzņēmumā</w:t>
              </w:r>
            </w:hyperlink>
            <w:r>
              <w:rPr>
                <w:b w:val="0"/>
                <w:color w:val="5F6B7A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2">
              <w:r>
                <w:rPr>
                  <w:color w:val="1A1A1A"/>
                  <w:sz w:val="18"/>
                </w:rPr>
                <w:t xml:space="preserve">"Latvenergo" gatava turpināt sadarbību "Tet" un LMT daļu izpirkšanas procesā</w:t>
              </w:r>
            </w:hyperlink>
            <w:r>
              <w:rPr>
                <w:b w:val="0"/>
                <w:color w:val="5F6B7A"/>
                <w:sz w:val="15"/>
              </w:rPr>
              <w:t xml:space="preserve">   TVNET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A1A1A"/>
                  <w:sz w:val="18"/>
                </w:rPr>
                <w:t xml:space="preserve">Vai ziemā pietiks gāzes un kas notiks ar cenām? «Latvenergo» skaidro situāciju pirms apkures sezonas</w:t>
              </w:r>
            </w:hyperlink>
            <w:r>
              <w:rPr>
                <w:b w:val="0"/>
                <w:color w:val="5F6B7A"/>
                <w:sz w:val="15"/>
              </w:rPr>
              <w:t xml:space="preserve">   bb.lv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A1A1A"/>
                  <w:sz w:val="18"/>
                </w:rPr>
                <w:t xml:space="preserve">Tik dārga gāze nav bijusi gadiem: "Latvenergo" analītiķe brīdina par saspringtu situāciju pirms apkures sezonas</w:t>
              </w:r>
            </w:hyperlink>
            <w:r>
              <w:rPr>
                <w:b w:val="0"/>
                <w:color w:val="5F6B7A"/>
                <w:sz w:val="15"/>
              </w:rPr>
              <w:t xml:space="preserve">   Dzentlmenis.lv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3">
              <w:r>
                <w:rPr>
                  <w:color w:val="1A1A1A"/>
                  <w:sz w:val="18"/>
                </w:rPr>
                <w:t xml:space="preserve">"Latvenergo": tik dārga dabasgāze nav bijusi gadiem ilgi</w:t>
              </w:r>
            </w:hyperlink>
            <w:r>
              <w:rPr>
                <w:b w:val="0"/>
                <w:color w:val="5F6B7A"/>
                <w:sz w:val="15"/>
              </w:rPr>
              <w:t xml:space="preserve">   NRA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A1A1A"/>
                  <w:sz w:val="18"/>
                </w:rPr>
                <w:t xml:space="preserve">"Latvenergo" elektroauto uzlādes tīkla attīstībā sper nākamo soli</w:t>
              </w:r>
            </w:hyperlink>
            <w:r>
              <w:rPr>
                <w:b w:val="0"/>
                <w:color w:val="5F6B7A"/>
                <w:sz w:val="15"/>
              </w:rPr>
              <w:t xml:space="preserve">   DELFI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Ginklų, tabako ir azartinių lošimų veiklos nėra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Anglies ir naftos gavybos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Dvi Rygos termofikacinės elektrinės kūrenamos gamtinėmis dujomis (2025 m. – 34 % gamybos)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iškastinio kuro politika riboja anglį ir naftos bei dujų gavybą, ne dujinę gamybą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Korupcijos ar etikos pažeidimų su reikšmingu poveikiu 2024–2025 m. – 0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2020 m. pirkimų istorijoje KNAB baudžiamąją bylą nutraukė, pažeidimų nenustatyta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(paieška latvių ir anglų k.,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2026-07-24 – 2026-10-22: 6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66 % elektros – iš atsinaujinančių šaltinių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S&amp;P Global CSA – 54 balai, tarp 30 % geriausių pasaulio elektros įmonių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Moody's ESG kredito poveikio balas CIS-2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Visos obligacijos – žaliosios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klimato neutralumas iki 2050 m., neutrali elektros gamyba iki 2040 m.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 ES taksonomija suderintos investicijos – 97 % (tikslas ≥80 %)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Rimtų nelaimingų atsitikimų ir didelių taršos atvejų 2024–2025 m. – 0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  <w:r>
              <w:rPr>
                <w:b w:val="0"/>
                <w:color w:val="333333"/>
                <w:sz w:val="18"/>
              </w:rPr>
              <w:t>, elektros ir atsinaujinančios energetikos politika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 xml:space="preserve"> ir iškastinio kuro politika dėl dujinių elektrinių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Emisijų mažinimo tikslai (2030 ir 2040 m.)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2024 m. visų apimčių emisijos nepriklausomai patikrintos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50001 energijos valdymas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Korupcijos atvejų – 0, sukčiavimo rizikos valdymo planas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Anglies nėra.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Absoliučios 1–3 apimties emisijos ataskaitos tekste nerastos.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aiški perėjimo prie atsinaujinančios energetikos strategija ir tvarkinga ESG praktika.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Elektros gamybos emisijų intensyvumas 0,100 t CO2/MWh 2025 m. (tikslas 0,06 iki 2030 m.)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 apimties emisijos −17 % nuo 2021 m.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Taksonomiją atitinkančios investicijos 97 %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Atsinaujinančių šaltinių dalis 66 %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Daugiausia hidroenergija, sparčiai auga vėjo ir saulės gamyba, aiškūs klimato tikslai; dujinės elektrinės lieka rezervu.</w:t>
      </w:r>
    </w:p>
    <w:p>
      <w:pPr>
        <w:spacing w:before="40" w:after="60"/>
      </w:pPr>
      <w:r>
        <w:rPr>
          <w:b w:val="0"/>
          <w:color w:val="5F6B7A"/>
          <w:sz w:val="16"/>
        </w:rPr>
        <w:t>Taikytos SEB politikos: Policy on Sustainability Considerations in Investments (SEB AB); Fossil Fuels sector policy (coal, oil &amp; gas, peat);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Latvenergo Group - Annual report 2025, p. 24,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Latvenergo Group - Interim report 6M 2026 (unaudited), p. 12,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Latvenergo Group - Interim report 6M 2026 (unaudited),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Latvenergo Group - Interim report 6M 2026 (unaudited), p. 7, 12,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Latvenergo Group - Interim report 6M 2026 (unaudited), p. 12, 15,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Latvenergo Group - Annual report 2025, p. 9,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Latvenergo Group - Annual report 2025, p. 8,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Latvenergo Group - Interim report 6M 2026 (unaudited), p. 5,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Latvenergo Group - Interim report 6M 2026 (unaudited), p. 15,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Latvenergo Group - Annual report 2025, p. 12,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11.</w:t>
        <w:tab/>
      </w:r>
      <w:hyperlink r:id="rId22">
        <w:r>
          <w:rPr>
            <w:color w:val="2A78D6"/>
            <w:sz w:val="17"/>
          </w:rPr>
          <w:t xml:space="preserve">Latvenergo Group - Interim report 6M 2026 (unaudited), p. 3, 8-9,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Latvenergo Group - Annual report 2025, p. 12-13,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13.</w:t>
        <w:tab/>
      </w:r>
      <w:hyperlink r:id="rId17">
        <w:r>
          <w:rPr>
            <w:color w:val="2A78D6"/>
            <w:sz w:val="17"/>
          </w:rPr>
          <w:t xml:space="preserve">Latvenergo Group - Annual report 2025, p. 8, 24,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Latvenergo Group - Interim report 6M 2026 (unaudited), p. 14,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15.</w:t>
        <w:tab/>
      </w:r>
      <w:hyperlink r:id="rId15">
        <w:r>
          <w:rPr>
            <w:color w:val="2A78D6"/>
            <w:sz w:val="17"/>
          </w:rPr>
          <w:t xml:space="preserve">Latvenergo Group - Interim report 6M 2026 (unaudited), p. 7-8, 12,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16.</w:t>
        <w:tab/>
      </w:r>
      <w:hyperlink r:id="rId22">
        <w:r>
          <w:rPr>
            <w:color w:val="2A78D6"/>
            <w:sz w:val="17"/>
          </w:rPr>
          <w:t xml:space="preserve">Latvenergo Group - Interim report 6M 2026 (unaudited), p. 3, 8,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17.</w:t>
        <w:tab/>
      </w:r>
      <w:hyperlink r:id="rId22">
        <w:r>
          <w:rPr>
            <w:color w:val="2A78D6"/>
            <w:sz w:val="17"/>
          </w:rPr>
          <w:t xml:space="preserve">Latvenergo Group - Interim report 6M 2026 (unaudited), p. 3,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18.</w:t>
        <w:tab/>
      </w:r>
      <w:hyperlink r:id="rId24">
        <w:r>
          <w:rPr>
            <w:color w:val="2A78D6"/>
            <w:sz w:val="17"/>
          </w:rPr>
          <w:t xml:space="preserve">Latvenergo Group - Interim report 6M 2026 (unaudited), p. 8-9,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19.</w:t>
        <w:tab/>
      </w:r>
      <w:hyperlink r:id="rId25">
        <w:r>
          <w:rPr>
            <w:color w:val="2A78D6"/>
            <w:sz w:val="17"/>
          </w:rPr>
          <w:t xml:space="preserve">Latvenergo Group - Annual report 2025, p. 27,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20.</w:t>
        <w:tab/>
      </w:r>
      <w:hyperlink r:id="rId26">
        <w:r>
          <w:rPr>
            <w:color w:val="2A78D6"/>
            <w:sz w:val="17"/>
          </w:rPr>
          <w:t xml:space="preserve">Nasdaq Baltic - Latvenergo 4.952% green bond LV0000802684,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21.</w:t>
        <w:tab/>
      </w:r>
      <w:hyperlink r:id="rId27">
        <w:r>
          <w:rPr>
            <w:color w:val="2A78D6"/>
            <w:sz w:val="17"/>
          </w:rPr>
          <w:t xml:space="preserve">Nasdaq Baltic - Latvenergo 2.42% green bond LV0000870129,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22.</w:t>
        <w:tab/>
      </w:r>
      <w:hyperlink r:id="rId28">
        <w:r>
          <w:rPr>
            <w:color w:val="2A78D6"/>
            <w:sz w:val="17"/>
          </w:rPr>
          <w:t xml:space="preserve">Nasdaq Baltic - Latvenergo 0.5% green bond LV0000802460,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23.</w:t>
        <w:tab/>
      </w:r>
      <w:hyperlink r:id="rId29">
        <w:r>
          <w:rPr>
            <w:color w:val="2A78D6"/>
            <w:sz w:val="17"/>
          </w:rPr>
          <w:t xml:space="preserve">Nasdaq Baltic - Latvenergo 3.612% green bond XS3227294132,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24.</w:t>
        <w:tab/>
      </w:r>
      <w:hyperlink r:id="rId30">
        <w:r>
          <w:rPr>
            <w:color w:val="2A78D6"/>
            <w:sz w:val="17"/>
          </w:rPr>
          <w:t xml:space="preserve">Latvenergo Group - Annual report 2025,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25.</w:t>
        <w:tab/>
      </w:r>
      <w:hyperlink r:id="rId15">
        <w:r>
          <w:rPr>
            <w:color w:val="2A78D6"/>
            <w:sz w:val="17"/>
          </w:rPr>
          <w:t xml:space="preserve">Latvenergo Group - Interim report 6M 2026 (unaudited), p. 7-8,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26.</w:t>
        <w:tab/>
      </w:r>
      <w:hyperlink r:id="rId31">
        <w:r>
          <w:rPr>
            <w:color w:val="2A78D6"/>
            <w:sz w:val="17"/>
          </w:rPr>
          <w:t xml:space="preserve">Jauns.lv – "Latvenergo" valdes loceklis Māris Kuņickis atstāj darbu uzņēmumā, 2026-10-05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27.</w:t>
        <w:tab/>
      </w:r>
      <w:hyperlink r:id="rId32">
        <w:r>
          <w:rPr>
            <w:color w:val="2A78D6"/>
            <w:sz w:val="17"/>
          </w:rPr>
          <w:t xml:space="preserve">TVNET – "Latvenergo" gatava turpināt sadarbību "Tet" un LMT daļu izpirkšanas procesā,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28.</w:t>
        <w:tab/>
      </w:r>
      <w:hyperlink r:id="rId33">
        <w:r>
          <w:rPr>
            <w:color w:val="2A78D6"/>
            <w:sz w:val="17"/>
          </w:rPr>
          <w:t xml:space="preserve">NRA – "Latvenergo": tik dārga dabasgāze nav bijusi gadiem ilgi, 2026-10-14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29.</w:t>
        <w:tab/>
      </w:r>
      <w:hyperlink r:id="rId37">
        <w:r>
          <w:rPr>
            <w:color w:val="2A78D6"/>
            <w:sz w:val="17"/>
          </w:rPr>
          <w:t xml:space="preserve">SEB Fossil Fuels sector policy (2026-04-23), p. 7-9,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30.</w:t>
        <w:tab/>
      </w:r>
      <w:hyperlink r:id="rId38">
        <w:r>
          <w:rPr>
            <w:color w:val="2A78D6"/>
            <w:sz w:val="17"/>
          </w:rPr>
          <w:t xml:space="preserve">Latvenergo Group - Annual report 2025, p. 29,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31.</w:t>
        <w:tab/>
      </w:r>
      <w:hyperlink r:id="rId39">
        <w:r>
          <w:rPr>
            <w:color w:val="2A78D6"/>
            <w:sz w:val="17"/>
          </w:rPr>
          <w:t xml:space="preserve">jauns.lv / LTV de facto - Latvenergo procurement audit (2020), 2020-10-04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32.</w:t>
        <w:tab/>
      </w:r>
      <w:hyperlink r:id="rId40">
        <w:r>
          <w:rPr>
            <w:color w:val="2A78D6"/>
            <w:sz w:val="17"/>
          </w:rPr>
          <w:t xml:space="preserve">Latvenergo Group - Annual report 2025, p. 31,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33.</w:t>
        <w:tab/>
      </w:r>
      <w:hyperlink r:id="rId41">
        <w:r>
          <w:rPr>
            <w:color w:val="2A78D6"/>
            <w:sz w:val="17"/>
          </w:rPr>
          <w:t xml:space="preserve">Latvenergo Group - Annual report 2025, p. 26-27,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34.</w:t>
        <w:tab/>
      </w:r>
      <w:hyperlink r:id="rId38">
        <w:r>
          <w:rPr>
            <w:color w:val="2A78D6"/>
            <w:sz w:val="17"/>
          </w:rPr>
          <w:t xml:space="preserve">Latvenergo Group - Annual report 2025, p. 29-30,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35.</w:t>
        <w:tab/>
      </w:r>
      <w:hyperlink r:id="rId42">
        <w:r>
          <w:rPr>
            <w:color w:val="2A78D6"/>
            <w:sz w:val="17"/>
          </w:rPr>
          <w:t xml:space="preserve">Latvenergo Group - Annual report 2025, p. 28,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36.</w:t>
        <w:tab/>
      </w:r>
      <w:hyperlink r:id="rId43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37.</w:t>
        <w:tab/>
      </w:r>
      <w:hyperlink r:id="rId43">
        <w:r>
          <w:rPr>
            <w:color w:val="2A78D6"/>
            <w:sz w:val="17"/>
          </w:rPr>
          <w:t xml:space="preserve">SEB Electricity and Renewable Energy sector policy,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38.</w:t>
        <w:tab/>
      </w:r>
      <w:hyperlink r:id="rId37">
        <w:r>
          <w:rPr>
            <w:color w:val="2A78D6"/>
            <w:sz w:val="17"/>
          </w:rPr>
          <w:t xml:space="preserve">SEB Fossil Fuels sector policy (2026-04-23), p. 4, 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39.</w:t>
        <w:tab/>
      </w:r>
      <w:hyperlink r:id="rId44">
        <w:r>
          <w:rPr>
            <w:color w:val="2A78D6"/>
            <w:sz w:val="17"/>
          </w:rPr>
          <w:t xml:space="preserve">Latvenergo Group - Annual report 2025, p. 10,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40.</w:t>
        <w:tab/>
      </w:r>
      <w:hyperlink r:id="rId45">
        <w:r>
          <w:rPr>
            <w:color w:val="2A78D6"/>
            <w:sz w:val="17"/>
          </w:rPr>
          <w:t xml:space="preserve">Latvenergo Group - Annual report 2025, p. 32,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41.</w:t>
        <w:tab/>
      </w:r>
      <w:hyperlink r:id="rId38">
        <w:r>
          <w:rPr>
            <w:color w:val="2A78D6"/>
            <w:sz w:val="17"/>
          </w:rPr>
          <w:t xml:space="preserve">Latvenergo Group - Annual report 2025, p. 29, 38, 2026-04-29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Latvenergo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Latvenergo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Latvenergo</w:t>
    </w:r>
    <w:r>
      <w:rPr>
        <w:b w:val="0"/>
        <w:color w:val="5F6B7A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elek/2025_ar_en_con.pdf#page=24" TargetMode="External"/><Relationship Id="rId13" Type="http://schemas.openxmlformats.org/officeDocument/2006/relationships/hyperlink" Target="https://nasdaqbaltic.com/market/upload/reports/elek/2026_q2_en_con.pdf#page=12" TargetMode="External"/><Relationship Id="rId14" Type="http://schemas.openxmlformats.org/officeDocument/2006/relationships/hyperlink" Target="https://nasdaqbaltic.com/market/upload/reports/elek/2026_q2_en_con.pdf" TargetMode="External"/><Relationship Id="rId15" Type="http://schemas.openxmlformats.org/officeDocument/2006/relationships/hyperlink" Target="https://nasdaqbaltic.com/market/upload/reports/elek/2026_q2_en_con.pdf#page=7" TargetMode="External"/><Relationship Id="rId16" Type="http://schemas.openxmlformats.org/officeDocument/2006/relationships/hyperlink" Target="https://nasdaqbaltic.com/market/upload/reports/elek/2025_ar_en_con.pdf#page=9" TargetMode="External"/><Relationship Id="rId17" Type="http://schemas.openxmlformats.org/officeDocument/2006/relationships/hyperlink" Target="https://nasdaqbaltic.com/market/upload/reports/elek/2025_ar_en_con.pdf#page=8" TargetMode="External"/><Relationship Id="rId18" Type="http://schemas.openxmlformats.org/officeDocument/2006/relationships/hyperlink" Target="https://nasdaqbaltic.com/market/upload/reports/elek/2026_q2_en_con.pdf#page=5" TargetMode="External"/><Relationship Id="rId19" Type="http://schemas.openxmlformats.org/officeDocument/2006/relationships/hyperlink" Target="https://nasdaqbaltic.com/market/upload/reports/elek/2026_q2_en_con.pdf#page=15" TargetMode="External"/><Relationship Id="rId20" Type="http://schemas.openxmlformats.org/officeDocument/2006/relationships/hyperlink" Target="https://nasdaqbaltic.com/market/upload/reports/elek/2025_ar_en_con.pdf#page=12" TargetMode="External"/><Relationship Id="rId21" Type="http://schemas.openxmlformats.org/officeDocument/2006/relationships/image" Target="media/image1.png"/><Relationship Id="rId22" Type="http://schemas.openxmlformats.org/officeDocument/2006/relationships/hyperlink" Target="https://nasdaqbaltic.com/market/upload/reports/elek/2026_q2_en_con.pdf#page=3" TargetMode="External"/><Relationship Id="rId23" Type="http://schemas.openxmlformats.org/officeDocument/2006/relationships/hyperlink" Target="https://nasdaqbaltic.com/market/upload/reports/elek/2026_q2_en_con.pdf#page=14" TargetMode="External"/><Relationship Id="rId24" Type="http://schemas.openxmlformats.org/officeDocument/2006/relationships/hyperlink" Target="https://nasdaqbaltic.com/market/upload/reports/elek/2026_q2_en_con.pdf#page=8" TargetMode="External"/><Relationship Id="rId25" Type="http://schemas.openxmlformats.org/officeDocument/2006/relationships/hyperlink" Target="https://nasdaqbaltic.com/market/upload/reports/elek/2025_ar_en_con.pdf#page=27" TargetMode="External"/><Relationship Id="rId26" Type="http://schemas.openxmlformats.org/officeDocument/2006/relationships/hyperlink" Target="https://nasdaqbaltic.com/statistics/en/instrument/LV0000802684/security?date=2026-10-22" TargetMode="External"/><Relationship Id="rId27" Type="http://schemas.openxmlformats.org/officeDocument/2006/relationships/hyperlink" Target="https://nasdaqbaltic.com/statistics/en/instrument/LV0000870129/security?date=2026-10-22" TargetMode="External"/><Relationship Id="rId28" Type="http://schemas.openxmlformats.org/officeDocument/2006/relationships/hyperlink" Target="https://nasdaqbaltic.com/statistics/en/instrument/LV0000802460/security?date=2026-10-22" TargetMode="External"/><Relationship Id="rId29" Type="http://schemas.openxmlformats.org/officeDocument/2006/relationships/hyperlink" Target="https://nasdaqbaltic.com/statistics/en/instrument/XS3227294132/security?date=2026-10-22" TargetMode="External"/><Relationship Id="rId30" Type="http://schemas.openxmlformats.org/officeDocument/2006/relationships/hyperlink" Target="https://nasdaqbaltic.com/market/upload/reports/elek/2025_ar_en_con.pdf" TargetMode="External"/><Relationship Id="rId31" Type="http://schemas.openxmlformats.org/officeDocument/2006/relationships/hyperlink" Target="https://news.google.com/rss/articles/CBMipAFBVV95cUxPaGlHRXFybVhhc3VtZjVPVnQxaHYyQU1Ob0VjZzJ4OFZMT0FZYkhDUDJkbno5ZGVQOE1WRktCdEwwd0VUeDlscEExdE9oV2RQN0NRQzZzNkwyVlR1TnQwMmx2YS1nQWFzWjJoMmhoN3RfbnV4UTRTRlBBdG9mNDBKT3RGTGdHQnEzVlZNNXNJbVMybF9uckNtZmRWQzNublNHaTJiMw?oc=5" TargetMode="External"/><Relationship Id="rId32" Type="http://schemas.openxmlformats.org/officeDocument/2006/relationships/hyperlink" Target="https://news.google.com/rss/articles/CBMiowFBVV95cUxPd0pQN3NXOENkUDZoaTVOdThycUdQaTdacHQzU2kzTFV0OV8xNnBTNTBZOXB4eE9zNkxQVWwxWEVZWG9lbWdPZGZXbEIwRWFxSUhzSmp0Q0NjRVRRUXppalVseGJnWDhHZjBIbE9nSklnQ2JsaVc2LTZacXRCbFVSQi1Sc3pQaVI1eXEtcVlQZGhOUmJaaVloSlNJWFFMenNaX0Fr?oc=5" TargetMode="External"/><Relationship Id="rId33" Type="http://schemas.openxmlformats.org/officeDocument/2006/relationships/hyperlink" Target="https://news.google.com/rss/articles/CBMipgFBVV95cUxOcm0tb0tzVm55a1FMMzd1cW5mTVJxS0tlTnItUnl2UjB4S0VsTjFrSlRJelFqQnVDSDJkRmd5LWZ0UGpqRHMxaTdCcEJmaU9meVgyZjBNQ3A4ZEFjNlhsd1NOY1BZWTRvNEs0aTB3dmRYdDJ6UUhXQkxMY3d2WEd3UVB2SFVCY0pQekdpZGY3YmtpMVlfWTRkTEVDa2F1cjU4S1Y3SGVB?oc=5" TargetMode="External"/><Relationship Id="rId34" Type="http://schemas.openxmlformats.org/officeDocument/2006/relationships/hyperlink" Target="https://news.google.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?oc=5" TargetMode="External"/><Relationship Id="rId35" Type="http://schemas.openxmlformats.org/officeDocument/2006/relationships/hyperlink" Target="https://news.google.com/rss/articles/CBMi1gFBVV95cUxOS21nMlo4enhpbzcwRU1VXzdvWXRCR1VRd3g0elpoWlJDN2dRZjhNdGhwT3hyS242aUdsVlhSM2p5NGRHQV80U3d6QjB2UWRrRzhxWi1RY3lfTnFoNDJHcnZ2dWFJSUpQNHQ0ek55bWNrNURBcExHUl9ac1BwVmVXTURiSUFDSHg2dTFzenlTc2VqTGdmN2VOQWNMMmVJbnl3Z1l4a3ViZjdYUURNdkRrVElYYzBHd3puZV9RRVduekdTb3R2N1Y0UHBubkVxajEzTVhIZERB?oc=5" TargetMode="External"/><Relationship Id="rId36" Type="http://schemas.openxmlformats.org/officeDocument/2006/relationships/hyperlink" Target="https://news.google.com/rss/articles/CBMiwwFBVV95cUxNbVEwcm1vR3Q4c2VWQjZhSzBfMi1tdXl6SmQ4aVhxaU5vRy1lZ3NsS3JoWmRzZ3RpQlR3WDl6aDVuQnRzbGEzOVZGcEVubGJQTHpRN3ZZQUNEWFJNb1hLOU4xdWxiY3lWR3NmTGh1bFFBMWFUNzAzN05nTXRiT1pGRnhzNHpiZGFBeFkzRXVWekpDd2lDeFR6TVo2VUpjUmVubU9XbllwaWotTV82S2l3Rld6bERNY2Q3Zlg3OVdZZWZrYlU?oc=5" TargetMode="External"/><Relationship Id="rId37" Type="http://schemas.openxmlformats.org/officeDocument/2006/relationships/hyperlink" Target="https://webapp.sebgroup.com/mb/mblib.nsf/dld/80AF6A2E5F88CDC2C12586B1002E33C2?opendocument" TargetMode="External"/><Relationship Id="rId38" Type="http://schemas.openxmlformats.org/officeDocument/2006/relationships/hyperlink" Target="https://nasdaqbaltic.com/market/upload/reports/elek/2025_ar_en_con.pdf#page=29" TargetMode="External"/><Relationship Id="rId39" Type="http://schemas.openxmlformats.org/officeDocument/2006/relationships/hyperlink" Target="https://jauns.lv/raksts/zinas/407457-starp-latvenergo-koncerna-iepirkumu-uzvaretajiem-atrodami-vairaki-martinsona-motokluba-ziedotaji" TargetMode="External"/><Relationship Id="rId40" Type="http://schemas.openxmlformats.org/officeDocument/2006/relationships/hyperlink" Target="https://nasdaqbaltic.com/market/upload/reports/elek/2025_ar_en_con.pdf#page=31" TargetMode="External"/><Relationship Id="rId41" Type="http://schemas.openxmlformats.org/officeDocument/2006/relationships/hyperlink" Target="https://nasdaqbaltic.com/market/upload/reports/elek/2025_ar_en_con.pdf#page=26" TargetMode="External"/><Relationship Id="rId42" Type="http://schemas.openxmlformats.org/officeDocument/2006/relationships/hyperlink" Target="https://nasdaqbaltic.com/market/upload/reports/elek/2025_ar_en_con.pdf#page=28" TargetMode="External"/><Relationship Id="rId43" Type="http://schemas.openxmlformats.org/officeDocument/2006/relationships/hyperlink" Target="https://sebgroup.com/sustainability/our-sustainability-strategy/policies" TargetMode="External"/><Relationship Id="rId44" Type="http://schemas.openxmlformats.org/officeDocument/2006/relationships/hyperlink" Target="https://nasdaqbaltic.com/market/upload/reports/elek/2025_ar_en_con.pdf#page=10" TargetMode="External"/><Relationship Id="rId45" Type="http://schemas.openxmlformats.org/officeDocument/2006/relationships/hyperlink" Target="https://nasdaqbaltic.com/market/upload/reports/elek/2025_ar_en_con.pdf#page=3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