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1H2026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Luminor Bank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- affirmed after the OTP announcement (grade to be confirmed; 2025 annual report refers to 'current A2 rating')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3Q 2026 interim report - expected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Kapitalas ir likvidumas gerokai viršija reikalavimus, o Moody's po OTP Bank sandorio paskelbimo reitingą paliko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Pelnas sumažėjo maždaug penktadaliu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7,75 % obligacija XS2633112565 išpirkta 2026 m. birželį ir nebėra apyvartoje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2Q2026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37,4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19,0 % vs 2Q2025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7,7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0,9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CET1 rodiklis</w:t>
            </w:r>
            <w:r>
              <w:rPr>
                <w:b w:val="0"/>
                <w:color w:val="5F6B7A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19,6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 p. p. vs 1H2025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LCR</w:t>
            </w:r>
            <w:r>
              <w:rPr>
                <w:b w:val="0"/>
                <w:color w:val="5F6B7A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187,0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23,7 p. p. vs 1H2025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sumažėjo maždaug penktadaliu:</w:t>
      </w:r>
      <w:r>
        <w:rPr>
          <w:b w:val="0"/>
        </w:rPr>
        <w:t xml:space="preserve"> 2026 m. I pusm. grynasis pelnas 72,0 mln. EUR, prieš metus – 91,6 mln.; vien II ketv. – 37,4 mln. EUR (46,2 mln.). Nuosavo kapitalo grąža 7,7 %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 gerokai viršija reikalavimus:</w:t>
      </w:r>
      <w:r>
        <w:rPr>
          <w:b w:val="0"/>
        </w:rPr>
        <w:t xml:space="preserve"> CET1 19,6 %, bendras kapitalas 23,7 %. MREL 36,34 % TREA, kai reikalaujama 23,69 % plius buferiai. Likvidumas: LCR 187,0 %, NSFR 142,3 %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Keičiasi savininkas:</w:t>
      </w:r>
      <w:r>
        <w:rPr>
          <w:b w:val="0"/>
        </w:rPr>
        <w:t xml:space="preserve"> 2026-07-20 paskelbta, kad OTP Bank įsigis 100 % Luminor iš Blackstone konsorciumo ir DNB. Laukiama priežiūros institucijų leidimų. Moody's reitingą ir perspektyvą paliko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Dalis kapitalo bus grąžinta:</w:t>
      </w:r>
      <w:r>
        <w:rPr>
          <w:b w:val="0"/>
        </w:rPr>
        <w:t xml:space="preserve"> 2026-07-17 ECB leido sumažinti CET1 kapitalą 200,0 mln. EUR; tikimasi IV ketv.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Pigesnis finansavimas:</w:t>
      </w:r>
      <w:r>
        <w:rPr>
          <w:b w:val="0"/>
        </w:rPr>
        <w:t xml:space="preserve"> grąžinta 300 mln. EUR pirmaeilė obligacija (MS+4,471 %) ir išleista pirmoji 500 mln. EUR senior non-preferred obligacija (MS+1,28 %)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3,551 %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4,042 %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7,375 %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1H2025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1H2026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157,7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21,4 %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507,7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214,4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632,8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271,7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60,1 %ᶜ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65,5 %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5,4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0,14 %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10 535,4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11 491,4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10 820,5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11 903,2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10,0 %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11 352,7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11 510,7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11 240,5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12 275,5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9,2 %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20,2 %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19,6 %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25,2 %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9,9 %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35,54 %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36,34 %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205,1 %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187,0 %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23,7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133,8 %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142,3 %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8,5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2,1 %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0,4 p. p. vs 1H2025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klientams 11 903,2 mln. EUR (+3,6 % nuo 2025 m. pab.), indėliai 12 275,5 mln. EUR (+6,6 %; pokyčiai apskaičiuoti įrankio)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Grynosios palūkanų pajamos 1H – 214,4 mln. EUR; grynoji palūkanų marža 2,70 % (2025 m. – 2,71 %)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65,5 % (2025 m. – 64,7 %); rizikos kaina 0,14 % (0,01 %); neveiksnios paskolos 2,1 % (2,0 %)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1H 2026 išmokėta 74,0 mln. EUR dividendų už 2025 m.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157,7 mln. EUR (2024 m. – 202,2 mln., −22,0 %), ROE 8,6 %, CET1 20,2 %, bendras kapitalas 24,6 %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 duomenys II ketv. ataskaitoje perskaičiuoti:</w:t>
      </w:r>
      <w:r>
        <w:rPr>
          <w:b w:val="0"/>
        </w:rPr>
        <w:t xml:space="preserve"> grynosios palūkanų pajamos 427,3 mln. EUR (metinėje – 419,8 mln.), visos pajamos 544,7 mln. (537,2 mln.)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Išleisti senior non-preferred obligacijas išlaikant dabartinį A2 reitingą (2025 m. ataskaita)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1H 2026 išleista 500 mln. EUR SNP; Moody's reitingą patvirtino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išleista 500 mln. EUR SNP (MS+1,28 %), o išpirkta 300 mln. EUR senior obligacija (MS+4,471 %) – finansavimas atpigo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Sumažinti CET1 kapitalą 200,0 mln. EUR (gautas leidimas 2026-07)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Numatyta IV ketv. 2026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planas: ECB leidimas gautas 2026-07-17. Kapitalas gerokai viršija reikalavimus (CET1 19,6 %), todėl perteklius grąžinamas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Savininkai: Blackstone konsorciumas (80,05 %) ir DNB (19,95 %) (2025 m. ataskaita)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2026-07-20 paskelbtas pardavimas OTP Bank (100 %), laukiama leidimų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savininkai susitarė parduoti 100 % OTP Bank; Moody's po pranešimo reitingą ir perspektyvą patvirtino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dvi pirmaeilės (senior preferred) obligacijos – 4,042 % 2028 (emitento pirkimo teisė už nominalią vertę 2027-09-10) ir 3,551 % 2029 (pirkimo teisė 2028-06-12) – bei neterminuota 7,375 % obligacija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7,75 % 2027 obligacijos XS2633112565 pirkimo data buvo 2026-06-08, ir Luminor šią 300 mln. EUR obligaciją išpirko 2026 m. I pusm., todėl jos nebėra apyvartoje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kapitalo ir MREL atsargos gerokai viršija reikalavimus, likvidumas padidėjo. 200 mln. EUR CET1 sumažinimas atsargą sumažins; bankas poveikio CET1 rodikliui šaltiniuose nenurodo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sandoris:</w:t>
      </w:r>
      <w:r>
        <w:rPr>
          <w:b w:val="0"/>
        </w:rPr>
        <w:t xml:space="preserve"> po pranešimo Moody's reitingą ir perspektyvą paliko, todėl poveikio reitingui kol kas nėra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Abi turimas pirmaeiles obligacijas emitentas gali išpirkti už nominalią vertę 2027 ir 2028 m.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mažėja (pelnas −21 % per 1H), tačiau kapitalas, MREL ir likvidumas – su didelėmis atsargomis. Pagrindinis įvykis turėtojams – savininko keitimas į OTP. Stebėti: 3Q ataskaitą, OTP sandorio leidimus, kapitalo sumažinimą IV ketv.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sandoris:</w:t>
      </w:r>
      <w:r>
        <w:rPr>
          <w:b w:val="0"/>
        </w:rPr>
        <w:t xml:space="preserve"> 2026-10-13 Europos Komisija leido OTP Bank įsigyti Luminor Holding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Dėmesio – pirkėjo ryšiai su Rusija:</w:t>
      </w:r>
      <w:r>
        <w:rPr>
          <w:b w:val="0"/>
        </w:rPr>
        <w:t xml:space="preserve"> 2026-09-28–29 spauda (remdamasi Bloomberg) rašė, kad tarp OTP klientų yra su „Gazprom“ siejamų įmonių ir kad OTP svarsto visiškai pasitraukti iš Rusijos. Tai susiję su pirkėju OTP, ne su Luminor veikla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color w:val="2A78D6"/>
          <w:vertAlign w:val="superscript"/>
        </w:rPr>
        <w:t>,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Obligacijos:</w:t>
      </w:r>
      <w:r>
        <w:rPr>
          <w:b w:val="0"/>
        </w:rPr>
        <w:t xml:space="preserve"> 2026-09-26 Latvijos spauda rašė, kad Luminor Bank anuliuoja 500 mln. EUR vertės obligacijas; kurios emisijos – antraštėje nenurodyta</w:t>
      </w:r>
      <w:hyperlink r:id="rId36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EN, EE, LT, LV), 2026-07-24 – 2026-10-22: 27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A1A1A"/>
                  <w:sz w:val="18"/>
                </w:rPr>
                <w:t xml:space="preserve">Už „Luminor“ norinčio įsigyti vengrų OTP ryškėja Kremliaus šešėlis: tarp klientų – su „Gazprom“ siejamos įmonės</w:t>
              </w:r>
            </w:hyperlink>
            <w:r>
              <w:rPr>
                <w:b w:val="0"/>
                <w:color w:val="5F6B7A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A1A1A"/>
                  <w:sz w:val="18"/>
                </w:rPr>
                <w:t xml:space="preserve">European Commission clears Luminor deal for OTP Bank stock</w:t>
              </w:r>
            </w:hyperlink>
            <w:r>
              <w:rPr>
                <w:b w:val="0"/>
                <w:color w:val="5F6B7A"/>
                <w:sz w:val="15"/>
              </w:rPr>
              <w:t xml:space="preserve">   AD HOC NEWS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A1A1A"/>
                  <w:sz w:val="18"/>
                </w:rPr>
                <w:t xml:space="preserve">OTP Bank wins EU approval for Luminor while OTP Bank stock trades at EUR 114.05</w:t>
              </w:r>
            </w:hyperlink>
            <w:r>
              <w:rPr>
                <w:b w:val="0"/>
                <w:color w:val="5F6B7A"/>
                <w:sz w:val="15"/>
              </w:rPr>
              <w:t xml:space="preserve">   AD HOC NEWS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A1A1A"/>
                  <w:sz w:val="18"/>
                </w:rPr>
                <w:t xml:space="preserve">„Luminor“ grupę siekiantis įsigyti Vengrijos bankas OTP svarsto trauktis iš Rusijos</w:t>
              </w:r>
            </w:hyperlink>
            <w:r>
              <w:rPr>
                <w:b w:val="0"/>
                <w:color w:val="5F6B7A"/>
                <w:sz w:val="15"/>
              </w:rPr>
              <w:t xml:space="preserve">   LRT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A1A1A"/>
                  <w:sz w:val="18"/>
                </w:rPr>
                <w:t xml:space="preserve">"Luminor Bank" anulē obligācijas 500 miljonu eiro vērtībā</w:t>
              </w:r>
            </w:hyperlink>
            <w:r>
              <w:rPr>
                <w:b w:val="0"/>
                <w:color w:val="5F6B7A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A1A1A"/>
                  <w:sz w:val="18"/>
                </w:rPr>
                <w:t xml:space="preserve">„Luminor“ mažmeninei bankininkystei pradeda vadovauti Ieva Linkutė-Urbonė</w:t>
              </w:r>
            </w:hyperlink>
            <w:r>
              <w:rPr>
                <w:b w:val="0"/>
                <w:color w:val="5F6B7A"/>
                <w:sz w:val="15"/>
              </w:rPr>
              <w:t xml:space="preserve">   LRT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A1A1A"/>
                  <w:sz w:val="18"/>
                </w:rPr>
                <w:t xml:space="preserve">„Luminor“ privačios bankininkystės vadovas nepasitiki politiniais sprendimais: II pensijų pakopos pinigus valdys pats</w:t>
              </w:r>
            </w:hyperlink>
            <w:r>
              <w:rPr>
                <w:b w:val="0"/>
                <w:color w:val="5F6B7A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A1A1A"/>
                  <w:sz w:val="18"/>
                </w:rPr>
                <w:t xml:space="preserve">Luminor posts 157 million euro profit for 2025 / Article</w:t>
              </w:r>
            </w:hyperlink>
            <w:r>
              <w:rPr>
                <w:b w:val="0"/>
                <w:color w:val="5F6B7A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A1A1A"/>
                  <w:sz w:val="18"/>
                </w:rPr>
                <w:t xml:space="preserve">Luminor“ ekonomistas Žygimantas Mauricas: šilta žiema būtų geriausia dovana europiečių piniginėms</w:t>
              </w:r>
            </w:hyperlink>
            <w:r>
              <w:rPr>
                <w:b w:val="0"/>
                <w:color w:val="5F6B7A"/>
                <w:sz w:val="15"/>
              </w:rPr>
              <w:t xml:space="preserve">   Infoerdve.lt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A1A1A"/>
                  <w:sz w:val="18"/>
                </w:rPr>
                <w:t xml:space="preserve">Luminor lends €1.1M to fast-growing Latvian timber firm Rēzeknes Mežs</w:t>
              </w:r>
            </w:hyperlink>
            <w:r>
              <w:rPr>
                <w:b w:val="0"/>
                <w:color w:val="5F6B7A"/>
                <w:sz w:val="15"/>
              </w:rPr>
              <w:t xml:space="preserve">   Dealroom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auga (2025 m. – 305,4 mln. EUR)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OECD gairėmis susijusių ginčų viešuose šaltiniuose ir naujienose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 dėl pinigų plovimo prevencijos neskelbta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Vienintelė 2025 m. priežiūros pastaba – Finantsinspektsioon nurodymas dėl bazinių mokėjimo paslaugų tvarkos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Luminor Oy – Suomijos logistikos įmonė, susijusi su Siberica Oy (pagal ES sąrašo įrašą apie Gabriel Temin), ne Luminor Bank AS.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Luminor Logistics – slapyvardis tame pačiame US OFAC įrašų rinkinyje kaip Luminor Oy ir Siberica Oy (logistika), ne Luminor Bank AS.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apie pačią Luminor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Dauguma naujienų – apie OTP Bank sandorį.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2026-09-28–29 spauda rašė apie pirkėjo OTP klientų sąsajas su Rusija – tai susiję su pirkėju, ne su Luminor veikla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27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„Už „Luminor“ norinčio įsigyti vengrų OTP ryškėja Kremliaus šešėlis: tarp klientų – su „Gazprom“ siejamos įmonės“ (15min.lt, 2026-09-29).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2025 m. – 305,4 mln. EUR (2024 m. – 182,4 mln.), tikslas – 700 mln. EUR iki 2030 m.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 ar su tvarumu susietos obligacijos sudaro 7,4 % obligacijų portfelio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 (maža rizika)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skaičiuojamos PCAF metodu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 ar su tvarumu susietos obligacijos sudaro 7,4 % obligacijų portfelio, tikslas – 50 % iki 2030 m.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Gavus leidimus savininku taps OTP Bank (Vengrija)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Valdymo ar tarptautinių normų pažeidimų nerasta (greita paieška 2026-10-22)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atskleidžiamos pagal PCAF (3 apimtis – 3,2 mln. t CO2e 2025 m.)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305,4 mln. EUR, tikslas – 700 mln. EUR iki 2030 m.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 (maža rizika)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Įsipareigojimas gerbti žmogaus teises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PPTFP ir sankcijų atitiktis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priemonės ir pranešėjų kanalai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Viešo skolinimo išimčių sąrašo (anglis, nafta ir dujos, ginklai) ir narystės JT Pasauliniame susitarime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kapitalas, likvidumas ir ESG praktika – tvirti.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(3 apimtis) 2025 m. – 3,2 mln. t CO2e, PCAF metodas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stebėtojų taryboje – 33,3 % (tikslas 40 %)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18,4, maža rizika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Tvirta ESG praktika: matuojamos finansuojamos emisijos (PCAF), klimato neutralumo tikslas, augančios žaliosios paskolos ir mažos rizikos ESG reitingas. Savininku taps OTP Bank.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17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marketscreener.com – European Commission Clears OTP Bank's Acquisition of Luminor Holding, 2026-10-13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15min.lt – Už „Luminor“ norinčio įsigyti vengrų OTP ryškėja Kremliaus šešėlis: tarp klientų – su „Gazprom“ siejamos įmonės,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Retail Banker International – Hungary’s OTP Bank weighs Russia exit amid Luminor purchase – report,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tv3.lv – "Luminor Bank" anulē obligācijas 500 miljonu eiro vērtībā, 2026-09-26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45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30.</w:t>
        <w:tab/>
      </w:r>
      <w:hyperlink r:id="rId46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31.</w:t>
        <w:tab/>
      </w:r>
      <w:hyperlink r:id="rId47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32.</w:t>
        <w:tab/>
      </w:r>
      <w:hyperlink r:id="rId48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33.</w:t>
        <w:tab/>
      </w:r>
      <w:hyperlink r:id="rId49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34.</w:t>
        <w:tab/>
      </w:r>
      <w:hyperlink r:id="rId50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35.</w:t>
        <w:tab/>
      </w:r>
      <w:hyperlink r:id="rId51">
        <w:r>
          <w:rPr>
            <w:color w:val="2A78D6"/>
            <w:sz w:val="17"/>
          </w:rPr>
          <w:t xml:space="preserve">Luminor Bank - Annual report 2025, p. 29, 2026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Luminor Bank · 1H2026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Luminor Bank · 1H2026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Luminor Bank</w:t>
    </w:r>
    <w:r>
      <w:rPr>
        <w:b w:val="0"/>
        <w:color w:val="5F6B7A"/>
        <w:sz w:val="16"/>
      </w:rPr>
      <w:tab/>
      <w:t>Emitento apžvalga · 1H2026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luminor.lv/sites/default/files/docs/finansu_parskati/luminor_bank_interim_report_2q26.pdf#page=15" TargetMode="External"/><Relationship Id="rId13" Type="http://schemas.openxmlformats.org/officeDocument/2006/relationships/hyperlink" Target="https://luminor.lv/sites/default/files/docs/finansu_parskati/luminor_bank_annual_report_2025-lv.pdf#page=9" TargetMode="External"/><Relationship Id="rId14" Type="http://schemas.openxmlformats.org/officeDocument/2006/relationships/hyperlink" Target="https://luminor.lv/sites/default/files/docs/finansu_parskati/luminor_bank_interim_report_2q26.pdf#page=5" TargetMode="External"/><Relationship Id="rId15" Type="http://schemas.openxmlformats.org/officeDocument/2006/relationships/hyperlink" Target="https://luminor.ee/s3fs-public/documents/final-terms-11.pdf" TargetMode="External"/><Relationship Id="rId16" Type="http://schemas.openxmlformats.org/officeDocument/2006/relationships/hyperlink" Target="https://luminor.lv/sites/default/files/docs/finansu_parskati/luminor_bank_interim_report_2q26.pdf" TargetMode="External"/><Relationship Id="rId17" Type="http://schemas.openxmlformats.org/officeDocument/2006/relationships/hyperlink" Target="https://luminor.lv/sites/default/files/docs/finansu_parskati/luminor_bank_interim_report_2q26.pdf#page=4" TargetMode="External"/><Relationship Id="rId18" Type="http://schemas.openxmlformats.org/officeDocument/2006/relationships/hyperlink" Target="https://luminor.lv/sites/default/files/docs/finansu_parskati/luminor_bank_annual_report_2025-lv.pdf#page=7" TargetMode="External"/><Relationship Id="rId19" Type="http://schemas.openxmlformats.org/officeDocument/2006/relationships/hyperlink" Target="https://luminor.lv/sites/default/files/docs/finansu_parskati/luminor_bank_interim_report_2q26.pdf#page=16" TargetMode="External"/><Relationship Id="rId20" Type="http://schemas.openxmlformats.org/officeDocument/2006/relationships/hyperlink" Target="https://luminor.lv/sites/default/files/docs/finansu_parskati/luminor_bank_annual_report_2025-lv.pdf#page=2" TargetMode="External"/><Relationship Id="rId21" Type="http://schemas.openxmlformats.org/officeDocument/2006/relationships/hyperlink" Target="https://luminor.lv/sites/default/files/docs/finansu_parskati/luminor_bank_interim_report_2q26.pdf#page=9" TargetMode="External"/><Relationship Id="rId22" Type="http://schemas.openxmlformats.org/officeDocument/2006/relationships/hyperlink" Target="https://luminor.lv/sites/default/files/docs/finansu_parskati/luminor_bank_annual_report_2025-lv.pdf#page=8" TargetMode="External"/><Relationship Id="rId23" Type="http://schemas.openxmlformats.org/officeDocument/2006/relationships/hyperlink" Target="https://luminor.lv/sites/default/files/docs/finansu_parskati/luminor_bank_interim_report_2q26.pdf#page=6" TargetMode="External"/><Relationship Id="rId24" Type="http://schemas.openxmlformats.org/officeDocument/2006/relationships/hyperlink" Target="https://luminor.lv/sites/default/files/docs/finansu_parskati/luminor_bank_interim_report_2q26.pdf#page=7" TargetMode="External"/><Relationship Id="rId25" Type="http://schemas.openxmlformats.org/officeDocument/2006/relationships/hyperlink" Target="https://luminor.lv/sites/default/files/docs/finansu_parskati/luminor_bank_annual_report_2025-lv.pdf#page=10" TargetMode="External"/><Relationship Id="rId26" Type="http://schemas.openxmlformats.org/officeDocument/2006/relationships/hyperlink" Target="https://luminor.lv/sites/default/files/docs/finansu_parskati/luminor_bank_interim_report_2q26.pdf#page=8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luminor.lv/sites/default/files/docs/finansu_parskati/luminor_bank_annual_report_2025-lv.pdf" TargetMode="External"/><Relationship Id="rId29" Type="http://schemas.openxmlformats.org/officeDocument/2006/relationships/hyperlink" Target="https://luminor.lv/sites/default/files/docs/finansu_parskati/luminor_bank_annual_report_2025-lv.pdf#page=5" TargetMode="External"/><Relationship Id="rId30" Type="http://schemas.openxmlformats.org/officeDocument/2006/relationships/hyperlink" Target="https://luminor.ee/s3fs-public/documents/final-terms-13.pdf" TargetMode="External"/><Relationship Id="rId31" Type="http://schemas.openxmlformats.org/officeDocument/2006/relationships/hyperlink" Target="https://luminor.ee/s3fs-public/documents/final-terms-15.pdf" TargetMode="External"/><Relationship Id="rId32" Type="http://schemas.openxmlformats.org/officeDocument/2006/relationships/hyperlink" Target="https://luminor.lv/en/placements" TargetMode="External"/><Relationship Id="rId33" Type="http://schemas.openxmlformats.org/officeDocument/2006/relationships/hyperlink" Target="https://news.google.com/rss/articles/CBMivgFBVV95cUxOV3dWYzYtSmE2Z2JHMklyZjlJNDhNR01LS0dDeWhDaWl3bGVnVFJsNVhENmlTSVNGbzJJS2MxWTJJLVlFMGNtQUYtd0U3eTJnZlRRYzFQYjRNMnBJMnRoUF81X04tejdjMXg3WFVja01Zb3M1QXMtb2pMU2VBam11aGhVR211eGotUjQ3UlJpTUd0NDR3Wm1POU9uQ0hmQWdpZmgwNjBjcU5meWRGcENVSHJEQ085aHVjTllTYmxB?oc=5" TargetMode="External"/><Relationship Id="rId34" Type="http://schemas.openxmlformats.org/officeDocument/2006/relationships/hyperlink" Target="https://news.google.com/rss/articles/CBMi3AFBVV95cUxOZ0Zkdl92dHhvWm9qWkthZjJYUFluYzF6TmtMakVxVHhYdldlWHYtNXcxY1N4eFd0a2JsckRlOTkxM3RBbFJrVU1ETDZINmhQaFNHaFZaVUJVSTc5XzktOE1jTVZLUGoyVVVwWVZEVnpsZXc5VXZTdHJSa3JXbGJ5bzZfWGJtNU1SbjlhQmlfdFVyejZWaHg5NU9Hb2VKVWItZlFqWHkxenR5ZmVfTFFYQ2JCMlUwb1dJV1k1Z3dIaGJBUmE0YXZiOGpCNXFkMk42NURjOTlWdGlnM3Z1?oc=5" TargetMode="External"/><Relationship Id="rId35" Type="http://schemas.openxmlformats.org/officeDocument/2006/relationships/hyperlink" Target="https://news.google.com/rss/articles/CBMid0FVX3lxTE9lNF9aWko3LWZ4X250WC1GaENad2hrdW9iYU1tc2RVaE1jeUU4TVpRdlJTWE9nblFMNTVUNzE3WlhFNkcwSkJkUGdZNU84emFSNFFmYnlzaFpWVGxtbUVkYUJoVmdiajNzQ09nWDlWNGVwWU9UbGtF?oc=5" TargetMode="External"/><Relationship Id="rId36" Type="http://schemas.openxmlformats.org/officeDocument/2006/relationships/hyperlink" Target="https://news.google.com/rss/articles/CBMikAFBVV95cUxPSWxBMUtIUnYxZ1hkU2xPX092V2gwS2VuVjk1UzZLaVVyLS1oaXpSZjNBODNpTEtveFRuVjR4VEZuYXB5Wl9TQk1XbkFYemZ1eUtjcVUwcUc0YTU2UHZSSTV0TGpvY0pZMDdocFdReWVzdnlQMVNNYlV6ckZ2NzZEczlqQzFwdGlycW9zWlJwenI?oc=5" TargetMode="External"/><Relationship Id="rId37" Type="http://schemas.openxmlformats.org/officeDocument/2006/relationships/hyperlink" Target="https://news.google.com/rss/articles/CBMivgFBVV95cUxQS0I2c1pwLWJmc0FBMnlvekktZUZiLUcxMy1aLS1TMU1sZlo0bnBLa0lyMGtwVFBYRFZFQ1JwM3hUTElmMEdYcFUtUWt6R01iU2dKdVA1ZXRJZ0RNekhTU0VBbjlabWlaRnU1NXYzYmZtcXpRZ0t5Xy15UHlwNzVOODcxeVNiVnVrQTVlSVV2Y3NQRkpCaTktLVFIWldhZElsaTM5cGl4bXVrS1p1MmZneFk4UlZMRGMtb1NUR01R?oc=5" TargetMode="External"/><Relationship Id="rId38" Type="http://schemas.openxmlformats.org/officeDocument/2006/relationships/hyperlink" Target="https://news.google.com/rss/articles/CBMi2gFBVV95cUxQTENGY3d5UHIyVm4zNFd2Z1c3ZF91SWVzaHQySlFyQ0pHU2JxMlNndjNOdENDQVdpNi1POGw4WklRd2pKZU1nYWNkcVJxTGpiWVR1Ul9QVHduR1laZ2pubjFaLXVEaHB2RE93ZlZiTTNSaVNFYVdwZ2xwMTZtYmhvc2hrZHdJOG9McnZVSEFDTHJfbmFCaVFsMER2Y0dOZ2xWcWttU2huR1hHWW15VGl5SElNYUpJVC1kYV9lOWhzY3hPTDUwTmc4ejlKWEl2UlQzUFM1QUNaUlJnZw?oc=5" TargetMode="External"/><Relationship Id="rId39" Type="http://schemas.openxmlformats.org/officeDocument/2006/relationships/hyperlink" Target="https://news.google.com/rss/articles/CBMixwFBVV95cUxPSXFLcVNjbUNOa0tfOU5rU0JMaFMyTzE4aGF0eWR4RTlSekJiMFF3R2MzajFEb1BTTWZRZk16LW1WWXBxaVVPNVljb2pHcGZKLVNXa0NkMGlHWjVPanZkQlVjM1daZ1FLdGY2dG1nNmZFYUJUWTZoQ3hQbkFhVHI1aEVHWVlQWWRkOU5wWXNSY3BzdzlGcV8tbUJuYUlkOS1vTXRvTlZDbVd0TU5JdVN1aFZDZFZFMi1SNS1uRXBYVHE4aUZDZHc4?oc=5" TargetMode="External"/><Relationship Id="rId40" Type="http://schemas.openxmlformats.org/officeDocument/2006/relationships/hyperlink" Target="https://news.google.com/rss/articles/CBMiugFBVV95cUxNTnNwYlVVaTVnVFR5TTZfa2lCNU4yeGt2dHV1Z054bVdSXzlYc082NGhVRElwaEJUaHlZYTYtc0pjVG1ZcUNWY3FTd2pPQ0dxOGRBY0VHVWFmX05ROGlvU3ZrWTF0c3AxSTJXWEhTb3VlZ0k2UXRSM0JtaFdNdzJ6RGNVZHRyX1o3YTVDVUxONjdMS1RCWVV0VURyd25lLU1RU0RDOXMwTUZzR1BsNmhjUmtiR29aM2JoZnc?oc=5" TargetMode="External"/><Relationship Id="rId41" Type="http://schemas.openxmlformats.org/officeDocument/2006/relationships/hyperlink" Target="https://news.google.com/rss/articles/CBMi9gFBVV95cUxPUDMwSXVLUERRLWRhOGlSb202N0JkU2RBSzlwWE1BRk5EWlY3OExqSUw4eEJtc2E4ZlFLUUVpOWVlbl9KaTdsQWV0UkJpb1hneW9FZVE1VG9FS2UwVGJoOW0wamp3Q0xxNDVxd1NTR1JIcVlTdTlVUWtETjVMQlQ3Qk5HYnlELUNiU3ZxcnhOenlXdF9XTWFKMk1KQnpmRDhFUmR1a1ZQX2hiUDYwbF8xVVhNaWZMdEwwbUR6bWEzVk9nanhIei04U0NwejJvamVwX0pxYnB2WG90dDFQQWp1UWNVa3g3SHhOZGNZRXgzcmotY1U3N1E?oc=5" TargetMode="External"/><Relationship Id="rId42" Type="http://schemas.openxmlformats.org/officeDocument/2006/relationships/hyperlink" Target="https://news.google.com/rss/articles/CBMiqwFBVV95cUxPR2xSM2JycUxjQ2VVSXBaUHR0aERmX0lDY183cnk5MkpQN2tmNnhFUGtETXZYR085aHZadHRfSW9Nck9EanJkSlJjMXcxSDlrRlpJN1JKYlphUHdueXRERllVQjhkRE1peUstbGNvTTBLLXVucDZJQlhDbkhjZDgzQVRaSTFpYnV3d3M5YWFiNVd2SU96ZUJCOG90bVZKbUMxVEY1TkJKVjd6TDg?oc=5" TargetMode="External"/><Relationship Id="rId43" Type="http://schemas.openxmlformats.org/officeDocument/2006/relationships/hyperlink" Target="https://news.google.com/rss/articles/CBMiuAFBVV95cUxPOHFVZjBPZWNhWkdTZkZYOXNra24wOUtiQ0RScmZ6dThkeDJkWGxDRHFPcDRMTGo1RjJXU0FGTTZvRzh0YTZpNzZDREM2bGRzWWhDZHItc2k0TGRBY1FNWUZSQ1c5eWFBc0E5NlEzWWt3V0NWZTF1UnFxT2dLaFJNYjdiSG1nSUNQQmhmNjhrZ1dBYTBSb2ZuOEhheWRQZTBla2dtZXM1ZGRVQ2VzTDZXNUprMUx0Z05v?oc=5" TargetMode="External"/><Relationship Id="rId44" Type="http://schemas.openxmlformats.org/officeDocument/2006/relationships/hyperlink" Target="https://news.google.com/rss/articles/CBMipAFBVV95cUxQNFFiZ25yd1FDSmtLVlo1VEZ5S0dFQU5KNS16NFcycW10cUtWblN6em1Pd19fNGUxbW8zS0NYbml4RWRWRDJRRk1GTDRqZm9pSjVHenl4S2RqTmpVSHFSMlZydFA2aWtGMEVDcTU0QUFMWW9CbnhaM1Qyb1k1Yi1Qa1BvenhJVnJOc3dGc0gwNXgtNUxGR1VjVm5ncVhjdkJDd1FtNg?oc=5" TargetMode="External"/><Relationship Id="rId45" Type="http://schemas.openxmlformats.org/officeDocument/2006/relationships/hyperlink" Target="https://luminor.lv/sites/default/files/docs/finansu_parskati/luminor_bank_annual_report_2025-lv.pdf#page=19" TargetMode="External"/><Relationship Id="rId46" Type="http://schemas.openxmlformats.org/officeDocument/2006/relationships/hyperlink" Target="https://luminor.lv/sites/default/files/docs/finansu_parskati/luminor_bank_annual_report_2025-lv.pdf#page=16" TargetMode="External"/><Relationship Id="rId47" Type="http://schemas.openxmlformats.org/officeDocument/2006/relationships/hyperlink" Target="https://luminor.lv/sites/default/files/docs/finansu_parskati/luminor_bank_annual_report_2025-lv.pdf#page=22" TargetMode="External"/><Relationship Id="rId48" Type="http://schemas.openxmlformats.org/officeDocument/2006/relationships/hyperlink" Target="https://sebgroup.com/sustainability/our-sustainability-strategy/policies" TargetMode="External"/><Relationship Id="rId49" Type="http://schemas.openxmlformats.org/officeDocument/2006/relationships/hyperlink" Target="https://luminor.lv/sites/default/files/docs/finansu_parskati/luminor_bank_annual_report_2025-lv.pdf#page=18" TargetMode="External"/><Relationship Id="rId50" Type="http://schemas.openxmlformats.org/officeDocument/2006/relationships/hyperlink" Target="https://luminor.lv/sites/default/files/docs/finansu_parskati/luminor_bank_annual_report_2025-lv.pdf#page=23" TargetMode="External"/><Relationship Id="rId51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