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40"/>
              </w:rPr>
              <w:t>Valstybės investicinis kapitalas (VIK)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Fitch A+ on the EUR 400m bond programme, linked to Lithuania's rating through the state guarantee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interim report - expected November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VIK is 100% state-owned and Fitch rates its bond programme A+, linked to the state guarantee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1H profit EUR 7.1m, equity ratio 70% (calculated by the tool)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Total assets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169.4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7.4 %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Equity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118.9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10.2 %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Equity ratio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70.1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11.1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profit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7.13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9,012.5 %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 defence investor:</w:t>
      </w:r>
      <w:r>
        <w:rPr>
          <w:b w:val="0"/>
        </w:rPr>
        <w:t xml:space="preserve"> VIK finances Lithuania's defence industry and other strategic sectors; its main project is the Rheinmetall ammunition plant in Baisogala (VIK investment up to EUR 71.05m)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 upgraded:</w:t>
      </w:r>
      <w:r>
        <w:rPr>
          <w:b w:val="0"/>
        </w:rPr>
        <w:t xml:space="preserve"> Fitch rates the bond programme A+, the highest so far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Cash returning from the Business Support Fund:</w:t>
      </w:r>
      <w:r>
        <w:rPr>
          <w:b w:val="0"/>
        </w:rPr>
        <w:t xml:space="preserve"> EUR 120.5m (60%) of the EUR 200m returned so far, the rest by mid-2028; another EUR 22m received on 2026-07-02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falling:</w:t>
      </w:r>
      <w:r>
        <w:rPr>
          <w:b w:val="0"/>
        </w:rPr>
        <w:t xml:space="preserve"> EUR 75m of the EUR 125m of bonds issued has already been redeemed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2.826%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3.119%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162.3*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182.9*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51.8%ᶜ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68.9%ᶜ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59.0%ᶜ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70.1%ᶜ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8.14*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-0.08*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7.13*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7.21 EURm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2025 VIK bought 49% of EPSO-G Invest (EUR 36.3m), which owns 48% of Rheinmetall Defence Lietuva; plant construction started on 2025-11-04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2026 a memorandum was signed with Rheinmetall Landsysteme and KNDS Deutschland on a ~EUR 50m maintenance centre in the Kaunas FEZ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February 2026 the shareholder decided to transfer VIK's shares to the state-controlled ILTE (Government approval needed)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Total assets EUR 169.4m, equity EUR 118.9m; 1H profit EUR 7.1m, mainly from an EUR 8.0m fair value gain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profit EUR 3.8m (2024:</w:t>
      </w:r>
      <w:r>
        <w:rPr>
          <w:b w:val="0"/>
        </w:rPr>
        <w:t xml:space="preserve"> 8.1m); bonds outstanding at 2026-06-30 about EUR 50.6m (calculated by the tool)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Recover the full EUR 200m Business Support Fund investment by mid-2028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120.5m (60%) returned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 up to EUR 71.05m in the Rheinmetall Defence Lietuva project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36m invested in 2025; construction under way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also financed by the EUR 25m defence bond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2.826% bond maturing 2027-06-30 (Nasdaq Vilnius since 2022-07-04) and a 3.119% defence bond, EUR 25m, issued 2025-09-24, maturing 2029-09-24, with proceeds fully allocated to the Rheinmetall project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risk close to the sovereign:</w:t>
      </w:r>
      <w:r>
        <w:rPr>
          <w:b w:val="0"/>
        </w:rPr>
        <w:t xml:space="preserve"> the bonds are backed by a state guarantee, so the Fitch A+ rating is linked to Lithuania's rating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 thanks to state ownership and guarantee, falling debt and returning fund money.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LT), 2026-07-24 – 2026-10-22: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A1A1A"/>
                  <w:sz w:val="18"/>
                </w:rPr>
                <w:t xml:space="preserve">bendrovei UAB „Valstybės investicinis kapitalas“ numatomas išskirtinis vaidmuo skatinant kapitalo rinkas bei mobilizuojant investicijas gynybos sektoriuje</w:t>
              </w:r>
            </w:hyperlink>
            <w:r>
              <w:rPr>
                <w:b w:val="0"/>
                <w:color w:val="5F6B7A"/>
                <w:sz w:val="15"/>
              </w:rPr>
              <w:t xml:space="preserve">   Lietuvos Respublikos Vyriausybė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A1A1A"/>
                  <w:sz w:val="18"/>
                </w:rPr>
                <w:t xml:space="preserve">„Valstybės investicinis kapitalas“ nebus prijungtas prie ILTE</w:t>
              </w:r>
            </w:hyperlink>
            <w:r>
              <w:rPr>
                <w:b w:val="0"/>
                <w:color w:val="5F6B7A"/>
                <w:sz w:val="15"/>
              </w:rPr>
              <w:t xml:space="preserve">   15min.lt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controversial or nuclear weapons.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invests in conventional defence industry (the Rheinmetall ammunition plant in Lithuania)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Arms and Defence policy only restricts controversial weapons, nuclear weapons outside NATO, civilian semi-automatic arms and unlicensed trade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states that sustainability is not a primary objective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priority is defence and security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climate or taxonomy targets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procurement through CPO LT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Nasdaq Vilnius corporate governance code is applied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 xml:space="preserve"> and the Arms and Defence policy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Investments in licensed defence production in a NATO country, with no controversial or nuclear weapons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Corporate governance code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public ESG policy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 company with a clear defence mandate.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has no premises or property, so its direct environmental impact is small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key PAI indicator for the fund is weapons exposure: conventional weapons only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Invests in conventional defence industry (allowed under SEB policy); sustainability is not a priority.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14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17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4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28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VIK - Annual report 2025 (audited), p. 8, 2026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Valstybės investicinis kapitalas (VIK)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Valstybės investicinis kapitalas (VIK)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Valstybės investicinis kapitalas (VIK)</w:t>
    </w:r>
    <w:r>
      <w:rPr>
        <w:b w:val="0"/>
        <w:color w:val="5F6B7A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vika/2026_q2_en_esef.pdf#page=10" TargetMode="External"/><Relationship Id="rId13" Type="http://schemas.openxmlformats.org/officeDocument/2006/relationships/hyperlink" Target="https://nasdaqbaltic.com/market/upload/reports/vika/2026_q2_en_esef.pdf#page=9" TargetMode="External"/><Relationship Id="rId14" Type="http://schemas.openxmlformats.org/officeDocument/2006/relationships/hyperlink" Target="https://nasdaqbaltic.com/market/upload/reports/vika/2026_q2_en_esef.pdf#page=20" TargetMode="External"/><Relationship Id="rId15" Type="http://schemas.openxmlformats.org/officeDocument/2006/relationships/hyperlink" Target="https://nasdaqbaltic.com/market/upload/reports/vika/2026_q2_en_esef.pdf#page=4" TargetMode="External"/><Relationship Id="rId16" Type="http://schemas.openxmlformats.org/officeDocument/2006/relationships/hyperlink" Target="https://nasdaqbaltic.com/market/upload/reports/vika/2025_ar_en_esef.pdf#page=5" TargetMode="External"/><Relationship Id="rId17" Type="http://schemas.openxmlformats.org/officeDocument/2006/relationships/hyperlink" Target="https://nasdaqbaltic.com/market/upload/reports/vika/2026_q2_en_esef.pdf#page=8" TargetMode="External"/><Relationship Id="rId18" Type="http://schemas.openxmlformats.org/officeDocument/2006/relationships/hyperlink" Target="https://nasdaqbaltic.com/market/upload/reports/vika/2025_ar_en_esef.pdf#page=7" TargetMode="External"/><Relationship Id="rId19" Type="http://schemas.openxmlformats.org/officeDocument/2006/relationships/hyperlink" Target="https://nasdaqbaltic.com/market/upload/reports/vika/2025_q2_en_con.pdf#page=3" TargetMode="External"/><Relationship Id="rId20" Type="http://schemas.openxmlformats.org/officeDocument/2006/relationships/hyperlink" Target="https://nasdaqbaltic.com/market/upload/reports/vika/2025_ar_en_esef.pdf#page=2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vika/2025_ar_en_esef.pdf#page=14" TargetMode="External"/><Relationship Id="rId23" Type="http://schemas.openxmlformats.org/officeDocument/2006/relationships/hyperlink" Target="https://nasdaqbaltic.com/market/upload/reports/vika/2025_q2_en_con.pdf#page=5" TargetMode="External"/><Relationship Id="rId24" Type="http://schemas.openxmlformats.org/officeDocument/2006/relationships/hyperlink" Target="https://nasdaqbaltic.com/market/upload/reports/vika/2026_q2_en_esef.pdf#page=17" TargetMode="External"/><Relationship Id="rId25" Type="http://schemas.openxmlformats.org/officeDocument/2006/relationships/hyperlink" Target="https://nasdaqbaltic.com/market/upload/reports/vika/2025_ar_en_esef.pdf#page=11" TargetMode="External"/><Relationship Id="rId26" Type="http://schemas.openxmlformats.org/officeDocument/2006/relationships/hyperlink" Target="https://news.google.com/rss/articles/CBMiuAJBVV95cUxNYlhuaGpJMk9Od0lWNTRnZUFSSEZsQXd4eUIxT1d0U05aX2tZbnhMaWRPRXJRSlM3Ykp0OE9lS0VCeWJMaTlWQlR3aEd2QUpCbUtXZWpFRUo0Ul9kWFJHb2lYWmJtVGxubWR5TWtOelBCUzU5czF5d1NrMTk2UGYzQnNuVU1KcDNwVERRcG1Lc2JpZVlFN3EtTGRON09JMkhBYzRPQzd4MkVIQm1NUW9RTkVOVVBONld2Z2FsOWllc2Y0WEJ5dDNXdW9xcXBMdTl2dUV0SnM1R1lmemxVekFPWDlYaHFIZXNJT3o2YlBId3JjSnV6TFdZSUNlNzR4NmhQMzVPa29LLXYtdnNVSS12N3l6clVlenVENlFuekpSRzVYMDZ5T3dxR1NERWJnSnBNUklJZkx1SkY?oc=5" TargetMode="External"/><Relationship Id="rId27" Type="http://schemas.openxmlformats.org/officeDocument/2006/relationships/hyperlink" Target="https://news.google.com/rss/articles/CBMiugFBVV95cUxNcnNrWmpNZ1ZaRVh5Ym45UWpkaUYybjJKX0ZFQkJhZnBJb192cXNFdXNaT0NHVTI1eWhqWGxsNjJxUGV0azc2am9vTFRJLXZ2V1BzX241N0ZqSTB0Sl9ISmhLUjE3ZGRnY183MFVYYVhpR1BFeXJOaDlncWh5V1ZLa09HdkpPcVh4TWxacXBCajkwdDhMbE0xbVZrNXYzdEV0V0o5a3JWUlB0eGp2UlItcUR2LVlaSVEtUHc?oc=5" TargetMode="External"/><Relationship Id="rId28" Type="http://schemas.openxmlformats.org/officeDocument/2006/relationships/hyperlink" Target="https://sebgroup.com/sustainability/our-sustainability-strategy/policies" TargetMode="External"/><Relationship Id="rId29" Type="http://schemas.openxmlformats.org/officeDocument/2006/relationships/hyperlink" Target="https://nasdaqbaltic.com/market/upload/reports/vika/2026_q2_en_esef.pdf#page=13" TargetMode="External"/><Relationship Id="rId30" Type="http://schemas.openxmlformats.org/officeDocument/2006/relationships/hyperlink" Target="https://nasdaqbaltic.com/market/upload/reports/vika/2026_q2_en_esef.pdf#page=14" TargetMode="External"/><Relationship Id="rId31" Type="http://schemas.openxmlformats.org/officeDocument/2006/relationships/hyperlink" Target="https://nasdaqbaltic.com/market/upload/reports/vika/2026_q2_en_esef.pdf#page=35" TargetMode="External"/><Relationship Id="rId32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