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40"/>
              </w:rPr>
              <w:t>Valstybės investicinis kapitalas (VIK)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pelnas 7,1 mln. EUR, nuosavo kapitalo dalis 70 % (apskaičiuota įrankio)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Turtas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169,4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Nuosavas kapitalas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118,9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70,1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7,13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(apskaičiuota įrankio)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LT),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A1A1A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5F6B7A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5F6B7A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nurodo, kad tvarumas nėra pagrindinis jos tikslas – prioritetas yra gynyba ir saugumas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Valstybės investicinis kapitalas (VIK)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Valstybės investicinis kapitalas (VIK)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Valstybės investicinis kapitalas (VIK)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7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28" Type="http://schemas.openxmlformats.org/officeDocument/2006/relationships/hyperlink" Target="https://sebgroup.com/sustainability/our-sustainability-strategy/policies" TargetMode="External"/><Relationship Id="rId29" Type="http://schemas.openxmlformats.org/officeDocument/2006/relationships/hyperlink" Target="https://nasdaqbaltic.com/market/upload/reports/vika/2026_q2_en_esef.pdf#page=13" TargetMode="External"/><Relationship Id="rId30" Type="http://schemas.openxmlformats.org/officeDocument/2006/relationships/hyperlink" Target="https://nasdaqbaltic.com/market/upload/reports/vika/2026_q2_en_esef.pdf#page=14" TargetMode="External"/><Relationship Id="rId31" Type="http://schemas.openxmlformats.org/officeDocument/2006/relationships/hyperlink" Target="https://nasdaqbaltic.com/market/upload/reports/vika/2026_q2_en_esef.pdf#page=35" TargetMode="External"/><Relationship Id="rId32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