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Emitento apžvalga · 1H2026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Kapitalas ir likvidumas gerokai viršija reikalavimus, o Moody's po OTP Bank sandorio paskelbimo reitingą paliko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sumažėjo maždaug penktadaliu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7,75 % obligacija XS2633112565 išpirkta 2026 m. birželį ir nebėra apyvartoje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37,4 mln. EUR</w:t>
            </w:r>
          </w:p>
          <w:p>
            <w:r>
              <w:rPr>
                <w:color w:val="5F6B7A"/>
                <w:sz w:val="16"/>
              </w:rPr>
              <w:t>▼ 19,0 %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7,7 %</w:t>
            </w:r>
          </w:p>
          <w:p>
            <w:r>
              <w:rPr>
                <w:color w:val="5F6B7A"/>
                <w:sz w:val="16"/>
              </w:rPr>
              <w:t>▼ 0,9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19,6 %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187,0 %</w:t>
            </w:r>
          </w:p>
          <w:p>
            <w:r>
              <w:rPr>
                <w:color w:val="5F6B7A"/>
                <w:sz w:val="16"/>
              </w:rPr>
              <w:t>▲ 23,7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65,5 %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19,6 %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9,9 %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2,1 %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klientams 11 903,2 mln. EUR (+3,6 % nuo 2025 m. pab.), indėliai 12 275,5 mln. EUR (+6,6 %; pokyčiai apskaičiuoti įrankio)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Grynosios palūkanų pajamos 1H – 214,4 mln. EUR; grynoji palūkanų marža 2,70 % (2025 m. – 2,71 %)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65,5 % (2025 m. – 64,7 %); rizikos kaina 0,14 % (0,01 %); neveiksnios paskolos 2,1 % (2,0 %)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1H 2026 išmokėta 74,0 mln. EUR dividendų už 2025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157,7 mln. EUR (2024 m. – 202,2 mln., −22,0 %), ROE 8,6 %, CET1 20,2 %, bendras kapitalas 24,6 %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 2026 išleista 500 mln. EUR SNP; Moody's reitingą patvirtino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Numatyta IV ketv.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auga (2025 m. – 305,4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viešuose šaltiniuose ir naujienose nerasta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Baudų dėl pinigų plovimo prevencijos neskelbta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Vienintelė 2025 m. priežiūros pastaba – Finantsinspektsioon nurodymas dėl bazinių mokėjimo paslaugų tvarkos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0"/>
        <w:ind w:left="397"/>
      </w:pPr>
      <w:r>
        <w:rPr>
          <w:b/>
          <w:color w:val="333333"/>
          <w:sz w:val="19"/>
        </w:rPr>
        <w:t>Galimas atitikmuo – peržiūrėti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US OFAC: | siberica oy | buzin ilya andreevich | temin gabriel | temin catherine esther | luminor oy | ooo vmk | joint stock company united metallurgical company | krivoruchko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(paskutinės 30 d., 2026-10-22) neigiamų naujienų nerado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Dauguma naujienų – apie OTP Bank sandorį.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2025 m. – 305,4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(2024 m. – 182,4 mln.), tikslas – 700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skaičiuojamos PCAF metodu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portfelio, tikslas – 50 %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Gavus leidimus savininku taps OTP Bank (Vengrija)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Valdymo ar tarptautinių normų pažeidimų nerasta (greita paieška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atskleidžiamos pagal PCAF (3 apimtis – 3,2 mln. t CO2e 2025 m.)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305,4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EUR, tikslas – 700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Įsipareigojimas gerbti žmogaus teises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PPTFP ir sankcijų atitiktis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priemonės ir pranešėjų kanalai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 skolinimo išimčių sąrašo (anglis, nafta ir dujos, ginklai) ir narystės JT Pasauliniame susitarime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kapitalas, likvidumas ir ESG praktika – tvirti.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(3 apimtis) 2025 m. – 3,2 mln. t CO2e, PCAF metodas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stebėtojų taryboje – 33,3 % (tikslas 40 %)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18,4, maža rizika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