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bribery case from 2015 concerns former executives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in the automatic news scan (Estonian and English media, last 30 days,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Older coverage concerns the former executives'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−55% by 2030 versus 2019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Progress: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current yellow flag.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former executives' case is historical (from 2015) and the company is the injured party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SEB's decarbonisation-plan expectation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 is declining, −33.8% in 6M 2026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Public reports do not describe shipping-specific items (ship energy efficiency plans, CII ratings, ship recycling)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or human rights due diligence, whistleblowing and anti-corruption policies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−55% by 2030 and climate neutrality by 2050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Clear climate targets with good progress (−41.8% versus 2019). Shipping-specific disclosures could be more detailed.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