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Verta stebėti.</w:t>
            </w:r>
            <w:r>
              <w:rPr>
                <w:b w:val="0"/>
                <w:color w:val="1A1A1A"/>
                <w:sz w:val="21"/>
              </w:rPr>
              <w:t xml:space="preserve"> Balansas tvirtas (grynoji skola 2,78x EBITDA, nuosavas kapitalas 59,8 % turto)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43,5 %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2026-08 perspektyvoje; dar nėra su kuo lyginti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2015 m. kyšininkavimo byla susijusi su buvusiais vadovais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joje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(estų ir anglų žiniasklaida, paskutinės 30 d., 2026-10-22) naujų neigiamų naujienų nerado.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Senesnės publikacijos – apie buvusių vadovų bylą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Klimatui neutrali veikla iki 2050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−55 % iki 2030 m., palyginti su 2019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Pažanga: 2025 m. – 19 261 t CO2e, −41,8 % nuo 2019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Dabartinių geltonų signalų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Buvusių vadovų byla – istorinė (nuo 2015 m.), bendrovė joje nukentėjusioji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ir laivybos politika, nes keltų segmentas sudaro 31,4 %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pajamų, daugiau nei 15 % riba (apskaičiuota įrankio)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Transporto politika netaikoma (tik kelių, geležinkelių ir oro transportas)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Bendrovės valdymo ar tarptautinių normų pažeidimų nėra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Kasmetinė tvarumo ataskaita su klimato duomenimis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neutralumas iki 2050 m. ir planas keltus perkelti prie alternatyvių kuro rūšių ar elektros – atitinka SEB dekarbonizacijos plano lūkestį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Skystų krovinių (naftos produktų) mažėja,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−33,8 %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Viešose ataskaitose neaprašyti laivybos dalykai (laivų energijos efektyvumo planai, CII reitingai, laivų perdirbimas)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ir žmogaus teisių patikra, pranešėjų kanalas, antikorupcijos politika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2025 m. – 19 261 t CO2e, −41,8 % nuo 2019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−55 % iki 2030 m. ir klimato neutralumas iki 2050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Aiškūs klimato tikslai ir gera pažanga (−41,8 % nuo 2019 m.). Laivybos atskleidimas galėtų būti išsamesnis.</w:t>
      </w:r>
    </w:p>
    <w:p>
      <w:r>
        <w:rPr>
          <w:i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