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40"/>
              </w:rPr>
              <w:t>Atsinaujinančios energetikos investicijos (AEI)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STEBĖTI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 in the reports)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LT0000134439  ·  8,0 % · 2027-12-13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Stebėti.</w:t>
            </w:r>
            <w:r>
              <w:rPr>
                <w:b w:val="0"/>
                <w:color w:val="1B2430"/>
                <w:sz w:val="21"/>
              </w:rPr>
              <w:t xml:space="preserve"> AEI pati nurodo, kad trumpalaikiai įsipareigojimai viršija trumpalaikį turtą, o 2026-12-04 reikia išpirkti 24,7 mln. EUR obligacijų; lėšoms gauti pradėtas projektų pardavimas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Sąlygų (kovenantų) 2026-06-30 laikomasi, nuosavo kapitalo dalis 54,5 % (riba – 50 %)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-5,13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26,4 %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54,5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3,7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63,5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16,6 %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Įrengta žalioji galia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317,9</w:t>
            </w:r>
            <w:r>
              <w:rPr>
                <w:b w:val="0"/>
                <w:color w:val="667085"/>
                <w:sz w:val="18"/>
              </w:rPr>
              <w:t xml:space="preserve"> MW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 xml:space="preserve"> 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Refinansavimo rizika:</w:t>
      </w:r>
      <w:r>
        <w:rPr>
          <w:b w:val="0"/>
        </w:rPr>
        <w:t xml:space="preserve"> 2026-12-04 išperkamos 8,5 % obligacijos – 24,7 mln. EUR; trumpalaikiai įsipareigojimai viršija trumpalaikį turtą; ataskaitoje nurodomas reikšmingas neapibrėžtumas dėl veiklos tęstinumo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Parduodami projektai:</w:t>
      </w:r>
      <w:r>
        <w:rPr>
          <w:b w:val="0"/>
        </w:rPr>
        <w:t xml:space="preserve"> pasamdyti pardavimo patarėjai ir vyksta derybos su pirkėjais; 2026-06-30 Zala Elektriba SIA perleista UAB Sorlena (sandorio vertė 24,0 mln. EUR)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Nuostolis:</w:t>
      </w:r>
      <w:r>
        <w:rPr>
          <w:b w:val="0"/>
        </w:rPr>
        <w:t xml:space="preserve"> I pusm. grynasis nuostolis 5,1 mln. EUR (prieš metus 4,1 mln.); 2025 m. – 11,7 mln. EUR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mažėja:</w:t>
      </w:r>
      <w:r>
        <w:rPr>
          <w:b w:val="0"/>
        </w:rPr>
        <w:t xml:space="preserve"> grynoji skola 63,5 mln. EUR (2025 m. pab. 76,1 mln.); 2026-06-17 visiškai išpirkta 2021–2026 m. obligacija (20,7 mln. EUR)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LT0000134439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AEI 8.00% green bonds 2025/2027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2027-12-13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Outstanding principal EUR 32.69m at 2026-06-30 (H1 2026 note 9)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Visos veiklos 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-6,11*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3,69*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0,82*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56,4 %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-14,78*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-11,75*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-5,13*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1,07 EURm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174,7*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153,6*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12,1 %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100,6*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88,8*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83,7*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13,3 %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52,9 %ᶜ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50,8 %ᶜ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54,5 %ᶜ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3,7 p. p.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62,3ᶜ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16,6 % vs FY2025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Įrengta žalioji galia, MW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317,9*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–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i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AEI – uždaro tipo investicinė bendrovė informuotiems investuotojams, valdoma UAB LORDS LB Asset Management; veiklos terminas pratęstas iki 2028-02-05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Portfelio įrengta galia 317,9 MW:</w:t>
      </w:r>
      <w:r>
        <w:rPr>
          <w:b w:val="0"/>
        </w:rPr>
        <w:t xml:space="preserve"> Žaliosios investicijos (25 %, vėjas, LT) 185,5 MW, PL SUN (Lenkija, saulė) 72,0 MW veikia, PV Energy Projects (Lenkija, saulė) 50,8 MW veikia; vystoma 590 MW saulės, 490 MW vėjo ir 57 MW kaupimo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24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Latvijoje statomas 112 MW vėjo parkas (WPR2):</w:t>
      </w:r>
      <w:r>
        <w:rPr>
          <w:b w:val="0"/>
        </w:rPr>
        <w:t xml:space="preserve"> pamatai baigti, pradėtas turbinų montavimas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2026-06-30 turtas 153,6 mln. EUR, nuosavas kapitalas 83,7 mln. EUR, įsipareigojimai 69,9 mln. EUR; pinigai 1,7 mln. EUR (be 2,6 mln. EUR apribotų)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Išleistų obligacijų balansinė vertė 59,0 mln. EUR, paskolos 6,2 mln. EUR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Įprastinių pajamų eilutės nėra – „visos pajamos“ apima tikrosios vertės pokyčius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Lenkijos išskaičiuoto mokesčio grąžinimas:</w:t>
      </w:r>
      <w:r>
        <w:rPr>
          <w:b w:val="0"/>
        </w:rPr>
        <w:t xml:space="preserve"> 2026-06 palankus antros instancijos sprendimas, likutis su palūkanomis gautas 2026-07</w:t>
      </w:r>
      <w:hyperlink r:id="rId25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2021–2026 m. 5 % žaliąsias obligacijas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Visiškai išpirkta 2026-06-17 (20,7 mln. EUR), dvi dienos po termino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Išpirkti 24,7 mln. EUR 8,5 % obligacijas 2026-12-04, parduodant projektus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Pardavimo procesas pradėtas, sandorių dar nepaskelbta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Laukiama pardavimų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Prijungti likusią PL SUN ir PV Energy galią (Lenkija)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 SUN 72,0 iš 114 MW, PV Energy 50,8 iš 67,7 MW; ~17 MW planuojama 2026-12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Statyba vyksta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UAB Nimela (200 MW saulės projektas)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Nuosavybės perleidimas buvo laukiamas iki 2026-06-30; birželio pabaigoje Nimela vis dar portfelyje (3,35 mln. EUR)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Terminas praėjo, sandoris neužbaigtas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</w:pPr>
            <w:r>
              <w:rPr>
                <w:b/>
                <w:sz w:val="17"/>
              </w:rPr>
              <w:t>Neįvykdyta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8,00 % žaliosios obligacijos LT0000134439, išleistos 2025-06-13, išpirkimas 2027-12-13; likutis 32,7 mln. EUR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5 % obligacija LT0000405938 išpirkta 2026-06-17 ir nebeturima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 (kovenantai):</w:t>
      </w:r>
      <w:r>
        <w:rPr>
          <w:b w:val="0"/>
        </w:rPr>
        <w:t xml:space="preserve"> nuosavo kapitalo dalis ≥50 % (yra 54,5 %, mūsų skaičiavimas), svertas ≤75 %, minimalus likvidumas 1,5 mln. EUR; 2026-06-30 laikomasi</w:t>
      </w:r>
      <w:hyperlink r:id="rId14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 2025 m. pab. kapitalo dalis buvo 50,8 % – arti ribos</w:t>
      </w:r>
      <w:hyperlink r:id="rId21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Eilė:</w:t>
      </w:r>
      <w:r>
        <w:rPr>
          <w:b w:val="0"/>
        </w:rPr>
        <w:t xml:space="preserve"> turimos obligacijos išperkamos po 2026-12 obligacijos, todėl jų grąžinimas priklauso nuo sėkmingo turto pardavimo ir 2026-12 išpirkimo. Obligacijų užtikrinimas ataskaitose nerastas.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padidinta rizika – nuostolinga veikla, trumpalaikio likvidumo trūkumas ir artėjantis išpirkimas; stebėti turto pardavimus ir 2026-12-04 išpirkimą.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Sąnaudos ir portfelis:</w:t>
      </w:r>
      <w:r>
        <w:rPr>
          <w:b w:val="0"/>
        </w:rPr>
        <w:t xml:space="preserve"> administracinės sąnaudos 2,2 mln. EUR (1,9 mln.), palūkanų sąnaudos 3,7 mln. EUR (4,0 mln.); investicinis turtas sumažėjo iki 138,4 mln. EUR (165,0 mln.) – parduota ir grąžinta 27,7 mln. EUR</w:t>
      </w:r>
      <w:hyperlink r:id="rId17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Elektros rinka:</w:t>
      </w:r>
      <w:r>
        <w:rPr>
          <w:b w:val="0"/>
        </w:rPr>
        <w:t xml:space="preserve"> vadovybės vertinimu, dabartinės elektros rinkos sąlygos ir paklausa palaiko projektų ekonominį gyvybingumą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; balansavimo (mFRR) rinkoje „Potentia Industriae“ uždirbo 1 356 tūkst. EUR, „Rokvėja“ – 850 tūkst. EUR (iki gegužės)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paskutiniai saulės projektai (apie 17 MW) prie tinklo bus prijungti 2026 m. gruodį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LT), 2026-07-30 – 2026-10-28: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UAB “Atsinaujinančios energetikos investicijos” skelbia 2026 m. rugsėjo mėn. GAV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 saulės, vėjo ir kaupimo projektai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2026-07-30 – 2026-10-28: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„Tamsiai žalias“ fondas pagal SFDR 9 straipsnį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Investuoja į atsinaujinančią energiją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Visos obligacijų emisijos – žaliosios obligacijos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Finansinė rizika (veiklos tęstinumas) aprašyta skiltyje „Investuotojui“.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Elektros ir atsinaujinančios energijos politika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Projektai ES / EEE su leidimais (pvz., Ekoelektra – visi statybos leidimai gauti)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ESG požiūriu nereikia: atsinaujinančios energijos fondas.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Skelbiama įrengta galia (317,9 MW) ir gamyba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SFDR 9 str. atsinaujinančios energijos fondas; rizika – finansinė, ne ESG.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4">
        <w:r>
          <w:rPr>
            <w:color w:val="2A78D6"/>
            <w:sz w:val="17"/>
          </w:rPr>
          <w:t xml:space="preserve">AEI - Interim financial statements 6M 2026 (unaudited, IFRS), p. 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AEI - Interim financial statements 6M 2026 (unaudited, IFRS), p. 32-34,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AEI - Interim financial statements 6M 2026 (unaudited, IFRS), p. 24-25,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AEI - Investor factsheet as of 2026-06-30, p. 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AEI - Financial statements 12M 2025 (unaudited), p. 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AEI - Interim financial statements 6M 2026 (unaudited, IFRS), p.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AEI - Financial statements 12M 2025 (unaudited), p. 24,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AEI - Financial statements 12M 2025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4">
        <w:r>
          <w:rPr>
            <w:color w:val="2A78D6"/>
            <w:sz w:val="17"/>
          </w:rPr>
          <w:t xml:space="preserve">AEI - Interim financial statements 6M 2026 (unaudited, IFRS), p. 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AEI - Interim financial statements 6M 2026 (unaudited, IFRS), p. 3, 19,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AEI - Interim financial statements 6M 2026 (unaudited, IFRS),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6">
        <w:r>
          <w:rPr>
            <w:color w:val="2A78D6"/>
            <w:sz w:val="17"/>
          </w:rPr>
          <w:t xml:space="preserve">AEI - Interim financial statements 6M 2026 (unaudited, IFRS), p. 33,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7">
        <w:r>
          <w:rPr>
            <w:color w:val="2A78D6"/>
            <w:sz w:val="17"/>
          </w:rPr>
          <w:t xml:space="preserve">AEI - Financial statements 12M 2025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7">
        <w:r>
          <w:rPr>
            <w:color w:val="2A78D6"/>
            <w:sz w:val="17"/>
          </w:rPr>
          <w:t xml:space="preserve">AEI - Interim financial statements 6M 2026 (unaudited, IFRS), p. 4,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AEI - Interim financial statements 6M 2026 (unaudited, IFRS),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AEI - Investor factsheet as of 2026-06-30,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31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32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3">
        <w:r>
          <w:rPr>
            <w:color w:val="2A78D6"/>
            <w:sz w:val="17"/>
          </w:rPr>
          <w:t xml:space="preserve">SEB Sector Policy on Electricity &amp; Renewable Energy (2026-04-23), p. 6-8,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Atsinaujinančios energetikos investicijos (AEI)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Atsinaujinančios energetikos investicijos (AEI)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yperlink" Target="https://nasdaqbaltic.com/market/upload/reports/aei/2026_q2_en_con_esef.pdf#page=32" TargetMode="External"/><Relationship Id="rId14" Type="http://schemas.openxmlformats.org/officeDocument/2006/relationships/hyperlink" Target="https://nasdaqbaltic.com/market/upload/reports/aei/2026_q2_en_con_esef.pdf#page=21" TargetMode="External"/><Relationship Id="rId15" Type="http://schemas.openxmlformats.org/officeDocument/2006/relationships/hyperlink" Target="https://nasdaqbaltic.com/market/upload/reports/aei/2026_q2_en_con_esef.pdf#page=24" TargetMode="External"/><Relationship Id="rId16" Type="http://schemas.openxmlformats.org/officeDocument/2006/relationships/hyperlink" Target="https://nasdaqbaltic.com/market/upload/reports/aei/2026_q2_en.pdf#page=1" TargetMode="External"/><Relationship Id="rId17" Type="http://schemas.openxmlformats.org/officeDocument/2006/relationships/hyperlink" Target="https://nasdaqbaltic.com/market/upload/reports/aei/2026_q2_en_con_esef.pdf#page=4" TargetMode="External"/><Relationship Id="rId18" Type="http://schemas.openxmlformats.org/officeDocument/2006/relationships/hyperlink" Target="https://nasdaqbaltic.com/market/upload/reports/aei/2025_q4_en_con.pdf#page=4" TargetMode="External"/><Relationship Id="rId19" Type="http://schemas.openxmlformats.org/officeDocument/2006/relationships/hyperlink" Target="https://nasdaqbaltic.com/market/upload/reports/aei/2026_q2_en_con_esef.pdf#page=19" TargetMode="External"/><Relationship Id="rId20" Type="http://schemas.openxmlformats.org/officeDocument/2006/relationships/hyperlink" Target="https://nasdaqbaltic.com/market/upload/reports/aei/2025_q4_en_con.pdf#page=24" TargetMode="External"/><Relationship Id="rId21" Type="http://schemas.openxmlformats.org/officeDocument/2006/relationships/hyperlink" Target="https://nasdaqbaltic.com/market/upload/reports/aei/2025_q4_en_con.pdf#page=3" TargetMode="External"/><Relationship Id="rId22" Type="http://schemas.openxmlformats.org/officeDocument/2006/relationships/hyperlink" Target="https://nasdaqbaltic.com/market/upload/reports/aei/2026_q2_en_con_esef.pdf#page=3" TargetMode="External"/><Relationship Id="rId23" Type="http://schemas.openxmlformats.org/officeDocument/2006/relationships/image" Target="media/image2.png"/><Relationship Id="rId24" Type="http://schemas.openxmlformats.org/officeDocument/2006/relationships/hyperlink" Target="https://nasdaqbaltic.com/market/upload/reports/aei/2026_q2_en_con_esef.pdf#page=9" TargetMode="External"/><Relationship Id="rId25" Type="http://schemas.openxmlformats.org/officeDocument/2006/relationships/hyperlink" Target="https://nasdaqbaltic.com/market/upload/reports/aei/2026_q2_en_con_esef.pdf#page=17" TargetMode="External"/><Relationship Id="rId26" Type="http://schemas.openxmlformats.org/officeDocument/2006/relationships/hyperlink" Target="https://nasdaqbaltic.com/market/upload/reports/aei/2026_q2_en_con_esef.pdf#page=33" TargetMode="External"/><Relationship Id="rId27" Type="http://schemas.openxmlformats.org/officeDocument/2006/relationships/hyperlink" Target="https://nasdaqbaltic.com/market/upload/reports/aei/2025_q4_en_con.pdf#page=17" TargetMode="External"/><Relationship Id="rId28" Type="http://schemas.openxmlformats.org/officeDocument/2006/relationships/hyperlink" Target="https://nasdaqbaltic.com/market/upload/reports/aei/2026_q2_en_con_esef.pdf#page=18" TargetMode="External"/><Relationship Id="rId29" Type="http://schemas.openxmlformats.org/officeDocument/2006/relationships/hyperlink" Target="https://nasdaqbaltic.com/market/upload/reports/aei/2026_q2_en.pdf#page=2" TargetMode="External"/><Relationship Id="rId30" Type="http://schemas.openxmlformats.org/officeDocument/2006/relationships/hyperlink" Target="https://news.google.com/rss/articles/CBMi9gFBVV95cUxNWmZDczdRcTl4a3laUEh6RmFVU3pyeGNyOS1aTmZuQ3ZFOVo5Qzd3ZVVJNU5saW9yZktveTdTRzMtazZXUm9reFZoUm9DbTdFZTBlMVFjRnY4dEw2SENCcFYwOTF0VW4yaW1CV25wdUxDNE9tTllKaDFhUGNLX1hMbkEtMFY5UkJGRTVoaXdybFRBdWRhQmJiVzhlcXoxOUJyME9zNGFKaVFvcTBpWDQwXy16VUtpQXFsaFJnLU9ZSU1BQ01NQTYtV0ZjTFNhRXVYRXVQZFExZndsOVJGRjlEVzBGdzdXa3lwWW1MYU1ZT2prczFUVGc?oc=5" TargetMode="External"/><Relationship Id="rId31" Type="http://schemas.openxmlformats.org/officeDocument/2006/relationships/hyperlink" Target="https://sanctionssearch.ofac.treas.gov/" TargetMode="External"/><Relationship Id="rId32" Type="http://schemas.openxmlformats.org/officeDocument/2006/relationships/hyperlink" Target="https://www.sanctionsmap.eu/#/main" TargetMode="External"/><Relationship Id="rId33" Type="http://schemas.openxmlformats.org/officeDocument/2006/relationships/hyperlink" Target="https://webapp.sebgroup.com/mb/mblib.nsf/dld/60D2454400789893C12587D70030AFC1?opendocu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