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Issuer review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Artea bankas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Lithuania · Bank (Lithuanian universal bank; retail, SME, corporate, leasing, asset management)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Key facts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(2026-04-21): long-term deposits upgraded to A3, senior unsecured Baa1 affirmed, outlook changed from stable to positive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- 2026-10-28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Country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Lithuania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Securities held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8.75% AT1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XS2922133363  ·  8.75% · perpetual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4.85% senior preferred 2028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XS2887816564  ·  4.853% · 2028-12-05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4.60% senior preferred 2030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XS3025213102  ·  4.597% · 2030-06-25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10.75% subordinated 2033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LT0000407751  ·  10.75% · 2033-06-22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Artea bankas 3.74% senior preferred 2029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XS3191554495  ·  3.739% · 2029-07-10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no separate rating found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Position OK, but profit is falling.</w:t>
            </w:r>
            <w:r>
              <w:rPr>
                <w:b w:val="0"/>
                <w:color w:val="1B2430"/>
                <w:sz w:val="21"/>
              </w:rPr>
              <w:t xml:space="preserve"> 1H profit EUR 23.2m versus 31.9m a year ago; ROE 7.8%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Capital (21.5%) and liquidity (LCR 179%) have headroom, and Moody's upgraded the rating in April 2026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Net profit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23.2</w:t>
            </w:r>
            <w:r>
              <w:rPr>
                <w:b w:val="0"/>
                <w:color w:val="667085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27.3 %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ROE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7.8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3.3 p. p.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Total capital ratio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21.5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0.35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LCR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179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29 p. p. vs FY2025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Lower profit:</w:t>
      </w:r>
      <w:r>
        <w:rPr>
          <w:b w:val="0"/>
        </w:rPr>
        <w:t xml:space="preserve"> 1H net profit EUR 23.2m (31.9m a year ago), ROE 7.8% (11.1%). Net interest income rose 6% to EUR 72.5m, but costs grew faster: cost/income 56.8%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Good loan quality:</w:t>
      </w:r>
      <w:r>
        <w:rPr>
          <w:b w:val="0"/>
        </w:rPr>
        <w:t xml:space="preserve"> cost of risk 0.01% (0.24%), stage 3 loans 2.4% (own calculation)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 upgraded:</w:t>
      </w:r>
      <w:r>
        <w:rPr>
          <w:b w:val="0"/>
        </w:rPr>
        <w:t xml:space="preserve"> on 2026-04-21 Moody's raised the deposit rating to A3; senior unsecured debt Baa1, outlook positive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Shareholders and management changing:</w:t>
      </w:r>
      <w:r>
        <w:rPr>
          <w:b w:val="0"/>
        </w:rPr>
        <w:t xml:space="preserve"> Tesonet Global plans to raise its stake to 31.68% and seek control (ECB approval, by Q1 2027); Tomas Varenbergas appointed acting CEO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Instrument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Coupon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Maturity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Issue rating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Note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XS2922133363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8.75% AT1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Additional Tier 1 (perpetual); issuer table shows end date 2029-10-17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XS2887816564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4.85% senior preferred 2028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4.853%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2028-12-05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XS3025213102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4.60% senior preferred 2030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4.597%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2030-06-25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LT0000407751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10.75% subordinated 2033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10.75%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2033-06-22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Subordinated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XS3191554495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Artea bankas 3.74% senior preferred 2029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3.739%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2029-07-10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Senior preferred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Metric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78.8*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60.7*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27.3 %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160.2*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138.3*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72.5*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6.0 %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189.8*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95.8*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94.0*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1.9 %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47.1%*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56.8%*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1.6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14.0%*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11.1%*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 of risk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0.35%*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0.13%*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0.24%*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0.01%*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0.23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margin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0.5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3,763*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4,012*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6.6 %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3,397*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3,961*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4,061*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2.5 %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24.38%*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21.5%*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0.35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MREL (% of TREA)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22.73%*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23.59%*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0.86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179%*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29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NPL ratio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2.79%ᶜ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2.42%ᶜ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▼ 0.37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 per share,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0.061*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0.047*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23.0 % vs FY2024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Colours: green change – the metric is improving, red – worsening. Latest-period cell background: green – good level, amber – average, red – weak (internal benchmarks,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taken from the report summary;  ᶜ – own calculation.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tea_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Loans grew 8% year on year to over EUR 3.9bn; deposits EUR 4,061m (+15%)</w:t>
      </w:r>
      <w:hyperlink r:id="rId13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Net interest margin 2.4% (2.9% a year ago), falling with lower interest rates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The core banking system replacement is under way; in 2025 the bank rebranded as Artea</w:t>
      </w:r>
      <w:hyperlink r:id="rId1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FY2025 net profit EUR 60.7m (2024:</w:t>
      </w:r>
      <w:r>
        <w:rPr>
          <w:b w:val="0"/>
        </w:rPr>
        <w:t xml:space="preserve"> 78.8m), ROE 10.4% (14.0%); net interest income EUR 138.3m (−14%)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Total capital ratio 21.5% (YE2025 21.15%), MREL 23.59% of TREA, LCR 179%</w:t>
      </w:r>
      <w:hyperlink r:id="rId13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Dividend for 2025 EUR 0.047 per share (EUR 30.4m), for 2024 EUR 0.061; a share buyback (EUR 2.6m) was completed in January 2026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 / target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Outcome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What changed and why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Strategy 2026-2028: become the best bank in Lithuania by 2029; long-term ROE &gt;17%, total shareholder return &gt;20%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ROE 7.8%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20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21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Still far from the target: the margin is falling and costs are up (core system change, rebranding)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Dividends at least 50% of prior-year profit; for 2025 up to 70% proposed (50% dividends, up to 20% buybacks)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52.2% of 2025 profit paid as dividends</w:t>
            </w:r>
            <w:hyperlink r:id="rId27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Met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Met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2026: about 15% corporate loan portfolio growth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loans +8% year on year (1H)</w:t>
            </w:r>
            <w:hyperlink r:id="rId28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 progress; corporate loan growth is not shown separately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2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Instruments held:</w:t>
      </w:r>
      <w:r>
        <w:rPr>
          <w:b w:val="0"/>
        </w:rPr>
        <w:t xml:space="preserve"> three EUR 300m senior preferred bonds, 4.85% due 2028-12-05, 3.74% due 2029-07-10 and 4.60% due 2030-06-25; a 10.75% subordinated bond due 2033 (EUR 50m); and an 8.75% AT1 (EUR 50m, date in the issuer table 2029-10-17)</w:t>
      </w:r>
      <w:hyperlink r:id="rId27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Rating:</w:t>
      </w:r>
      <w:r>
        <w:rPr>
          <w:b w:val="0"/>
        </w:rPr>
        <w:t xml:space="preserve"> senior debt Baa1 with a positive outlook, which is good news for all bonds held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For subordinated bonds and AT1:</w:t>
      </w:r>
      <w:r>
        <w:rPr>
          <w:b w:val="0"/>
        </w:rPr>
        <w:t xml:space="preserve"> total capital of 21.5% and MREL of 23.59% have headroom; no new bonds were issued in 1H 2026</w:t>
      </w:r>
      <w:hyperlink r:id="rId13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Change of control:</w:t>
      </w:r>
      <w:r>
        <w:rPr>
          <w:b w:val="0"/>
        </w:rPr>
        <w:t xml:space="preserve"> if Tesonet gains control (ECB approval needed), the strategic owner changes; change-of-control terms of the bonds were not found in public sources</w:t>
      </w:r>
      <w:hyperlink r:id="rId12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profitability is declining, but capital, liquidity and loan quality are good and the rating has improved. 9M results are due on 2026-10-28.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Market and environment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Pension reform:</w:t>
      </w:r>
      <w:r>
        <w:rPr>
          <w:b w:val="0"/>
        </w:rPr>
        <w:t xml:space="preserve"> net profit EUR 23.2m (-27%) due to a one-off goodwill impairment caused by the pension reform; part of the withdrawn pension money was used to repay consumer loans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Core business growing:</w:t>
      </w:r>
      <w:r>
        <w:rPr>
          <w:b w:val="0"/>
        </w:rPr>
        <w:t xml:space="preserve"> net interest income +6% to EUR 72.5m, loans +8% (&gt;EUR 3.9bn), deposits +15%; impairments only EUR 0.3m (cost of risk 0.01%)</w:t>
      </w:r>
      <w:hyperlink r:id="rId13">
        <w:r>
          <w:rPr>
            <w:color w:val="2A78D6"/>
            <w:vertAlign w:val="superscript"/>
            <w:sz w:val="17"/>
          </w:rPr>
          <w:t xml:space="preserve">2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Risk:</w:t>
      </w:r>
      <w:r>
        <w:rPr>
          <w:b w:val="0"/>
        </w:rPr>
        <w:t xml:space="preserve"> the bank sees the greatest uncertainty in the impact of geopolitics on the wider economy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Now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3 months ago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 months ago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12-month change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deposit facility rate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2.50%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2.25%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2.64%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2.34%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2.03%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2.92%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2.60%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12-month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3.25%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2.80%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2.17%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1.08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AAA government 10-year yield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3.37%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3.23%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2.72%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0.65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area inflation (HICP, annual)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1.90%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2.20%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2.40%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0.50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area rates and inflation (ECB data, end-of-month value; Euribor and inflation – monthly average). Relevant for floating-rate and reset bonds and refinancing costs.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In the press</w:t>
      </w:r>
    </w:p>
    <w:p>
      <w:pPr>
        <w:spacing w:before="40" w:after="60"/>
      </w:pPr>
      <w:r>
        <w:rPr>
          <w:b w:val="0"/>
          <w:color w:val="667085"/>
          <w:sz w:val="18"/>
        </w:rPr>
        <w:t>Automatic news scan (Google News, LT), 2026-07-30 – 2026-10-28: 5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2026-10-08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B2430"/>
                  <w:sz w:val="18"/>
                </w:rPr>
                <w:t xml:space="preserve">Artea bankas sumažino Lietuvos augimo prognozę ir prognozuoja 5,3 proc. kainų augimą</w:t>
              </w:r>
            </w:hyperlink>
            <w:r>
              <w:rPr>
                <w:b w:val="0"/>
                <w:color w:val="667085"/>
                <w:sz w:val="15"/>
              </w:rPr>
              <w:t xml:space="preserve">   Delfi  ·  4 more similar articles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bank is not active in excluded sectors.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responsible investment regulation is published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were imposed on the bank or group companies in 2025 or Q2 2026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US OFAC consolidated sanctions lists (automatic check 2026-10-28).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Manual check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sanctions search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EU Sanctions Map</w:t>
            </w:r>
            <w:hyperlink r:id="rId34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(internal SEB system).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adverse news found (search in Lithuanian and English, 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Most news is about Tesonet's share purchases and management changes.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2026-07-30 – 2026-10-28: 5 articles, 0 with an adverse keyword in the headline (details in the section "In the press").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Expanding sustainable financing is a 2026 priority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planned Artea Retrofit Fund 3 (EUR 625m) for building renovation</w:t>
            </w:r>
            <w:hyperlink r:id="rId25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Committed, together with the EU, to climate neutrality by 2050 in line with the Paris Agreement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yellow flags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SEB sector policy for banks, so the Investments policy and the Environmental and Social &amp; Human Rights policies apply</w:t>
            </w:r>
            <w:hyperlink r:id="rId35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AML procedures, whistleblowing channel, supplier code of conduct, responsible investment regulation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sanctions imposed on the bank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and interim climate targets not found publicly.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capital and loan quality are good and ESG practice is in order.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Women make up 77.8% of group staff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Climate neutrality target for 2050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Included in the Bloomberg ESG Data and ESG Coverage indices</w:t>
            </w:r>
            <w:hyperlink r:id="rId23">
              <w:r>
                <w:rPr>
                  <w:color w:val="2A78D6"/>
                  <w:vertAlign w:val="superscript"/>
                  <w:sz w:val="15"/>
                </w:rPr>
                <w:t xml:space="preserve">15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Core ESG procedures are in place; little climate data is disclosed.</w:t>
      </w:r>
    </w:p>
    <w:p>
      <w:pPr>
        <w:spacing w:before="40" w:after="60"/>
      </w:pPr>
      <w:r>
        <w:rPr>
          <w:b w:val="0"/>
          <w:color w:val="667085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4">
        <w:r>
          <w:rPr>
            <w:color w:val="2A78D6"/>
            <w:sz w:val="17"/>
          </w:rPr>
          <w:t xml:space="preserve">Artea bankas - FY2025 management report and unaudited financial statements, p.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6">
        <w:r>
          <w:rPr>
            <w:color w:val="2A78D6"/>
            <w:sz w:val="17"/>
          </w:rPr>
          <w:t xml:space="preserve">Artea bankas - Interim report 6M 2026 (reviewed), p. 18,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7">
        <w:r>
          <w:rPr>
            <w:color w:val="2A78D6"/>
            <w:sz w:val="17"/>
          </w:rPr>
          <w:t xml:space="preserve">Artea bankas - FY2025 management report and unaudited financial statements, p. 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Artea bankas - Interim report 6M 2026 (reviewed), p. 23,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19">
        <w:r>
          <w:rPr>
            <w:color w:val="2A78D6"/>
            <w:sz w:val="17"/>
          </w:rPr>
          <w:t xml:space="preserve">Artea bankas - Interim report 6M 2026 (reviewed), p. 24,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Artea bankas - Interim report 6M 2026 (reviewed), p. 16,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21">
        <w:r>
          <w:rPr>
            <w:color w:val="2A78D6"/>
            <w:sz w:val="17"/>
          </w:rPr>
          <w:t xml:space="preserve">Artea bankas - Interim report 6M 2026 (reviewed), p.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2">
        <w:r>
          <w:rPr>
            <w:color w:val="2A78D6"/>
            <w:sz w:val="17"/>
          </w:rPr>
          <w:t xml:space="preserve">Artea bankas - FY2025 management report and unaudited financial statements, p. 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6, 17,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4-5,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Artea bankas - FY2025 management report and unaudited financial statements, p. 4, 7, 17,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Artea bankas - Interim report 6M 2026 (reviewed), p. 9, 29,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5">
        <w:r>
          <w:rPr>
            <w:color w:val="2A78D6"/>
            <w:sz w:val="17"/>
          </w:rPr>
          <w:t xml:space="preserve">Artea bankas - FY2025 management report and unaudited financial statements, p. 6,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6">
        <w:r>
          <w:rPr>
            <w:color w:val="2A78D6"/>
            <w:sz w:val="17"/>
          </w:rPr>
          <w:t xml:space="preserve">Artea bankas - Annual report 2025 (LT),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7">
        <w:r>
          <w:rPr>
            <w:color w:val="2A78D6"/>
            <w:sz w:val="17"/>
          </w:rPr>
          <w:t xml:space="preserve">Artea - Issued securities (bond list),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8">
        <w:r>
          <w:rPr>
            <w:color w:val="2A78D6"/>
            <w:sz w:val="17"/>
          </w:rPr>
          <w:t xml:space="preserve">Artea bankas - Annual report 2025 (LT),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13">
        <w:r>
          <w:rPr>
            <w:color w:val="2A78D6"/>
            <w:sz w:val="17"/>
          </w:rPr>
          <w:t xml:space="preserve">Artea bankas - Interim report 6M 2026 (reviewed), p. 6-7, 22,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12">
        <w:r>
          <w:rPr>
            <w:color w:val="2A78D6"/>
            <w:sz w:val="17"/>
          </w:rPr>
          <w:t xml:space="preserve">Artea bankas - Interim report 6M 2026 (reviewed), p. 7-8,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0">
        <w:r>
          <w:rPr>
            <w:color w:val="2A78D6"/>
            <w:sz w:val="17"/>
          </w:rPr>
          <w:t xml:space="preserve">Artea - Sustainability / ESG risk information,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1">
        <w:r>
          <w:rPr>
            <w:color w:val="2A78D6"/>
            <w:sz w:val="17"/>
          </w:rPr>
          <w:t xml:space="preserve">Artea bankas - FY2025 management report and unaudited financial statements, p. 13, 2026-02-25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28.</w:t>
        <w:tab/>
      </w:r>
      <w:hyperlink r:id="rId32">
        <w:r>
          <w:rPr>
            <w:color w:val="2A78D6"/>
            <w:sz w:val="17"/>
          </w:rPr>
          <w:t xml:space="preserve">Artea bankas - Interim report 6M 2026 (reviewed), p. 14, 2026-08-26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29.</w:t>
        <w:tab/>
      </w:r>
      <w:hyperlink r:id="rId33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30.</w:t>
        <w:tab/>
      </w:r>
      <w:hyperlink r:id="rId34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31.</w:t>
        <w:tab/>
      </w:r>
      <w:hyperlink r:id="rId35">
        <w:r>
          <w:rPr>
            <w:color w:val="2A78D6"/>
            <w:sz w:val="17"/>
          </w:rPr>
          <w:t xml:space="preserve">SEB Policy on Sustainability Considerations in Investments (2026-04-15), p. 5, 7,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32.</w:t>
        <w:tab/>
      </w:r>
      <w:hyperlink r:id="rId36">
        <w:r>
          <w:rPr>
            <w:color w:val="2A78D6"/>
            <w:sz w:val="17"/>
          </w:rPr>
          <w:t xml:space="preserve">Artea bankas - Interim report 6M 2026 (reviewed), p. 10, 2026-08-26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Artea bankas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Artea bankas</w:t>
    </w:r>
    <w:r>
      <w:rPr>
        <w:b w:val="0"/>
        <w:color w:val="667085"/>
        <w:sz w:val="16"/>
      </w:rPr>
      <w:tab/>
      <w:t>Issuer review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roe1/2026_q2_en_con_esef.pdf#page=7" TargetMode="External"/><Relationship Id="rId13" Type="http://schemas.openxmlformats.org/officeDocument/2006/relationships/hyperlink" Target="https://nasdaqbaltic.com/market/upload/reports/roe1/2026_q2_en_con_esef.pdf#page=6" TargetMode="External"/><Relationship Id="rId14" Type="http://schemas.openxmlformats.org/officeDocument/2006/relationships/hyperlink" Target="https://nasdaqbaltic.com/market/upload/reports/roe1/2025_q4_en_con.pdf#page=17" TargetMode="External"/><Relationship Id="rId15" Type="http://schemas.openxmlformats.org/officeDocument/2006/relationships/hyperlink" Target="https://nasdaqbaltic.com/market/upload/reports/roe1/2025_q4_en_con.pdf#page=4" TargetMode="External"/><Relationship Id="rId16" Type="http://schemas.openxmlformats.org/officeDocument/2006/relationships/hyperlink" Target="https://nasdaqbaltic.com/market/upload/reports/roe1/2026_q2_en_con_esef.pdf#page=18" TargetMode="External"/><Relationship Id="rId17" Type="http://schemas.openxmlformats.org/officeDocument/2006/relationships/hyperlink" Target="https://nasdaqbaltic.com/market/upload/reports/roe1/2025_q4_en_con.pdf#page=7" TargetMode="External"/><Relationship Id="rId18" Type="http://schemas.openxmlformats.org/officeDocument/2006/relationships/hyperlink" Target="https://nasdaqbaltic.com/market/upload/reports/roe1/2026_q2_en_con_esef.pdf#page=23" TargetMode="External"/><Relationship Id="rId19" Type="http://schemas.openxmlformats.org/officeDocument/2006/relationships/hyperlink" Target="https://nasdaqbaltic.com/market/upload/reports/roe1/2026_q2_en_con_esef.pdf#page=24" TargetMode="External"/><Relationship Id="rId20" Type="http://schemas.openxmlformats.org/officeDocument/2006/relationships/hyperlink" Target="https://nasdaqbaltic.com/market/upload/reports/roe1/2026_q2_en_con_esef.pdf#page=16" TargetMode="External"/><Relationship Id="rId21" Type="http://schemas.openxmlformats.org/officeDocument/2006/relationships/hyperlink" Target="https://nasdaqbaltic.com/market/upload/reports/roe1/2026_q2_en_con_esef.pdf#page=17" TargetMode="External"/><Relationship Id="rId22" Type="http://schemas.openxmlformats.org/officeDocument/2006/relationships/hyperlink" Target="https://nasdaqbaltic.com/market/upload/reports/roe1/2025_q4_en_con.pdf#page=5" TargetMode="External"/><Relationship Id="rId23" Type="http://schemas.openxmlformats.org/officeDocument/2006/relationships/hyperlink" Target="https://nasdaqbaltic.com/market/upload/reports/roe1/2026_q2_en_con_esef.pdf#page=9" TargetMode="External"/><Relationship Id="rId24" Type="http://schemas.openxmlformats.org/officeDocument/2006/relationships/image" Target="media/image1.png"/><Relationship Id="rId25" Type="http://schemas.openxmlformats.org/officeDocument/2006/relationships/hyperlink" Target="https://nasdaqbaltic.com/market/upload/reports/roe1/2025_q4_en_con.pdf#page=6" TargetMode="External"/><Relationship Id="rId26" Type="http://schemas.openxmlformats.org/officeDocument/2006/relationships/hyperlink" Target="https://cdn.artea.lt/mainweb/uploads/media/69cbc6f608b68/annual-report-2025-lt-final.pdf#page=6" TargetMode="External"/><Relationship Id="rId27" Type="http://schemas.openxmlformats.org/officeDocument/2006/relationships/hyperlink" Target="https://www.artea.lt/lt/banko-investuotojams/vertybiniai-popieriai" TargetMode="External"/><Relationship Id="rId28" Type="http://schemas.openxmlformats.org/officeDocument/2006/relationships/hyperlink" Target="https://cdn.artea.lt/mainweb/uploads/media/69cbc6f608b68/annual-report-2025-lt-final.pdf#page=8" TargetMode="External"/><Relationship Id="rId29" Type="http://schemas.openxmlformats.org/officeDocument/2006/relationships/hyperlink" Target="https://news.google.com/rss/articles/CBMi1gFBVV95cUxPMVRmRnRCVGctSF9oZ0xnM0dIWVVPa0FxZnQzT2NOZUJGbVdhX1ZwMzJzSHI1TFctaDNfUTUwdTlTaEMxcWdhSGxKTjRkQms1a0tpTFhROFptSFBaMzZYblVMX1JnV0FwQmxqLVE0RnZ1Mk9tbDBMVXYtTjZyQk5pQ2FCXzRsUl8zdXFCUFNMM0UtSF9ielUycDZtcEpPTG52OEZhei11RVkydDdjQ0czN0F1MmJvU1pkcmFpcmgwYjducjB0ZlExUFpGdEUwVWY5V0E1NTJR?oc=5" TargetMode="External"/><Relationship Id="rId30" Type="http://schemas.openxmlformats.org/officeDocument/2006/relationships/hyperlink" Target="https://www.artea.lt/lt/apie/tvarumas/banko-tvarumo-informacija" TargetMode="External"/><Relationship Id="rId31" Type="http://schemas.openxmlformats.org/officeDocument/2006/relationships/hyperlink" Target="https://nasdaqbaltic.com/market/upload/reports/roe1/2025_q4_en_con.pdf#page=13" TargetMode="External"/><Relationship Id="rId32" Type="http://schemas.openxmlformats.org/officeDocument/2006/relationships/hyperlink" Target="https://nasdaqbaltic.com/market/upload/reports/roe1/2026_q2_en_con_esef.pdf#page=14" TargetMode="External"/><Relationship Id="rId33" Type="http://schemas.openxmlformats.org/officeDocument/2006/relationships/hyperlink" Target="https://sanctionssearch.ofac.treas.gov/" TargetMode="External"/><Relationship Id="rId34" Type="http://schemas.openxmlformats.org/officeDocument/2006/relationships/hyperlink" Target="https://www.sanctionsmap.eu/#/main" TargetMode="External"/><Relationship Id="rId35" Type="http://schemas.openxmlformats.org/officeDocument/2006/relationships/hyperlink" Target="https://sebgroup.com/sustainability/our-sustainability-strategy/policies" TargetMode="External"/><Relationship Id="rId36" Type="http://schemas.openxmlformats.org/officeDocument/2006/relationships/hyperlink" Target="https://nasdaqbaltic.com/market/upload/reports/roe1/2026_q2_en_con_esef.pdf#page=1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