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Emitento apžvalga · 6M2026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52"/>
              </w:rPr>
              <w:t>Inbank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Estija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1B7F3B"/>
                <w:sz w:val="18"/>
                <w:shd w:val="clear" w:color="auto" w:fill="E3F3E8"/>
              </w:rPr>
              <w:t xml:space="preserve">  ●  TVARKINGA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Pagrindinė informacija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Emitento reitingas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No public credit rating found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Analizės data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Kita ataskaita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Q3 2026 results - expected late October / November 2026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Šalis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Estija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Turimi vertybiniai popieriai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Inbank 7.5% AT1 perpetual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EE3300002286  ·  7,5 % · neterminuota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atskiro nerasta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Inbank 5.5% subordinated 2031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EE3300002302  ·  5,5 % · 2031-12-15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atskiro nerasta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1B7F3B" w:space="0"/>
              <w:bottom w:val="nil"/>
              <w:right w:val="nil"/>
            </w:tcBorders>
            <w:shd w:val="clear" w:color="auto" w:fill="E3F3E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Pozicija tvarkinga.</w:t>
            </w:r>
            <w:r>
              <w:rPr>
                <w:b w:val="0"/>
                <w:color w:val="1B2430"/>
                <w:sz w:val="21"/>
              </w:rPr>
              <w:t xml:space="preserve"> I pusm. pelnas 8,3 mln. EUR (+2 %), ROE 9,6 %</w:t>
            </w:r>
            <w:hyperlink r:id="rId12">
              <w:r>
                <w:rPr>
                  <w:color w:val="2A78D6"/>
                  <w:vertAlign w:val="superscript"/>
                  <w:sz w:val="17"/>
                </w:rPr>
                <w:t xml:space="preserve">1</w:t>
              </w:r>
            </w:hyperlink>
            <w:r>
              <w:rPr>
                <w:b w:val="0"/>
                <w:color w:val="1B2430"/>
                <w:sz w:val="21"/>
              </w:rPr>
              <w:t>. Kapitalas viršija reikalavimus: CET1 13,15 % (reikalaujama 9,85 %), bendras kapitalas 18,38 % (14,66 %)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2</w:t>
              </w:r>
            </w:hyperlink>
            <w:r>
              <w:rPr>
                <w:b w:val="0"/>
                <w:color w:val="1B2430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Grynasis pelnas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8,3</w:t>
            </w:r>
            <w:r>
              <w:rPr>
                <w:b w:val="0"/>
                <w:color w:val="667085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2,5 %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ROE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9,6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0,3 p. p.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CET1 rodiklis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13,15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0,12 p. p.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Bendrasis kapitalo rodiklis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18,38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1,07 p. p. vs 6M2025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Trumpa santrauka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Pelnas stabilus:</w:t>
      </w:r>
      <w:r>
        <w:rPr>
          <w:b w:val="0"/>
        </w:rPr>
        <w:t xml:space="preserve"> I pusm. grynasis pelnas 8,3 mln. EUR (8,1 mln.), II ketv. – 4,3 mln. EUR (3,6 mln.); ROE 9,6 %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Kapitalas su atsarga:</w:t>
      </w:r>
      <w:r>
        <w:rPr>
          <w:b w:val="0"/>
        </w:rPr>
        <w:t xml:space="preserve"> CET1 13,15 %, bendras kapitalas 18,38 %, sverto rodiklis 10,83 %; birželį išleista nauja 8,34 mln. EUR AT1 emisija (8,25 %)</w:t>
      </w:r>
      <w:hyperlink r:id="rId14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color w:val="2A78D6"/>
          <w:vertAlign w:val="superscript"/>
        </w:rPr>
        <w:t>,</w:t>
      </w:r>
      <w:hyperlink r:id="rId12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Didelis likvidumas:</w:t>
      </w:r>
      <w:r>
        <w:rPr>
          <w:b w:val="0"/>
        </w:rPr>
        <w:t xml:space="preserve"> LCR 1 161 %, NSFR 133 %; indėliai 1 320 mln. EUR</w:t>
      </w:r>
      <w:hyperlink r:id="rId15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color w:val="2A78D6"/>
          <w:vertAlign w:val="superscript"/>
        </w:rPr>
        <w:t>,</w:t>
      </w:r>
      <w:hyperlink r:id="rId16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Nauja kryptis:</w:t>
      </w:r>
      <w:r>
        <w:rPr>
          <w:b w:val="0"/>
        </w:rPr>
        <w:t xml:space="preserve"> su Eurobank kuriama 50/50 įmonė Graikijoje (licencijavimas vyksta, pradžia – 2027 m. I ketv.)</w:t>
      </w:r>
      <w:hyperlink r:id="rId12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Turimos priemonės ir ISIN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Priemonė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Kuponas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Išpirkimas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Emisijos reitingas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Pastaba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EE3300002286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Inbank 7.5% AT1 perpetual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7,5 %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neterminuota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atskiro nerasta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Additional Tier 1, perpetual; coupons may be cancelled at Inbank's discretion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EE3300002302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Inbank 5.5% subordinated 2031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5,5 %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2031-12-15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atskiro nerasta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Subordinated (Tier 2 capital)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Pagrindiniai rodikliai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864"/>
        <w:gridCol w:w="1156"/>
        <w:gridCol w:w="1156"/>
        <w:gridCol w:w="1156"/>
        <w:gridCol w:w="1156"/>
        <w:gridCol w:w="2148"/>
      </w:tblGrid>
      <w:tr>
        <w:tc>
          <w:tcPr>
            <w:tcW w:type="dxa" w:w="286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Rodiklis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FY2024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6M2026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Pokytis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Grynasis pelnas, mln. EUR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19,2*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8,1*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8,3*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2,5 %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Grynosios palūkanų pajamos, mln. EUR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67,5*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74,2*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36,4*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37,5*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3,0 %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Visos veiklos pajamos, mln. EUR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76,4*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85,1*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41,5*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43,9*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5,8 %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Sąnaudų ir pajamų santykis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56,6 %*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54,4 %*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55,9 %*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54,3 %*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▼ 1,6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ROE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11,3 %*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12,3 %*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9,3 %*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9,6 %*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0,3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Rizikos kaina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1,5 %*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1,59 %*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1,6 %*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1,54 %*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▼ 0,06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Paskolos klientams, mln. EUR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1 155,1*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1 280*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1 320*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3,1 %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Klientų indėliai, mln. EUR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1 171,4*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1 301,1*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1 233,4*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1 320,0*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7,0 %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Nuosavas kapitalas, mln. EUR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171,0*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155,7*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176,2*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13,2 %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CET1 rodiklis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14,13 %*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13,03 %*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13,15 %*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0,12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Bendrasis kapitalo rodiklis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18,81 %*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17,31 %*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18,38 %*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1,07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Sverto rodiklis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10,71 %*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9,75 %*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10,83 %*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1,08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NSFR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135,74 %*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135,3 %*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133,03 %*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2,27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Neveiksnių paskolų dalis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2,3 %ᶜ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2,4 %ᶜ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0,1 p. p. vs FY2025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Spalvos: žalias pokytis – rodiklis gerėja, raudonas – blogėja. Paskutinio laikotarpio langelio fonas: žalias – geras lygis, geltonas – vidutinis, raudonas – silpnas (vidiniai orientyrai,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paimta iš ataskaitos santraukos;  ᶜ – mūsų skaičiavimas. Mažas numeris prie teksto – nuoroda į šaltinį (paspaudus atsidaro dokumentas reikiamame puslapyje).</w:t>
      </w:r>
    </w:p>
    <w:p>
      <w:r>
        <w:drawing>
          <wp:inline xmlns:a="http://schemas.openxmlformats.org/drawingml/2006/main" xmlns:pic="http://schemas.openxmlformats.org/drawingml/2006/picture">
            <wp:extent cx="6120000" cy="1713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bank_l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1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Veiklos apžvalga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Paskolų ir nuomos portfelis 1,32 mlrd. EUR</w:t>
      </w:r>
      <w:hyperlink r:id="rId12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 Rizikos kaina 1,54 % – vartojimo finansavimo bankui įprasta ir, pasak vadovybės, tikslo ribose</w:t>
      </w:r>
      <w:hyperlink r:id="rId12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Žaliasis finansavimas II ketv. – 28,4 mln. EUR (−23 %); 2025 m. – 146 mln. EUR (+65 %)</w:t>
      </w:r>
      <w:hyperlink r:id="rId12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color w:val="2A78D6"/>
          <w:vertAlign w:val="superscript"/>
        </w:rPr>
        <w:t>,</w:t>
      </w:r>
      <w:hyperlink r:id="rId17">
        <w:r>
          <w:rPr>
            <w:color w:val="2A78D6"/>
            <w:vertAlign w:val="superscript"/>
            <w:sz w:val="17"/>
          </w:rPr>
          <w:t xml:space="preserve">13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Vėluojančių &gt;90 d. privačių paskolų dalis – 2,4 % (mūsų skaičiavimas)</w:t>
      </w:r>
      <w:hyperlink r:id="rId20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Finansai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2025 m. grynasis pelnas 19,2 mln. EUR, ROE 12,3 %, sąnaudų / pajamų santykis 54,4 %, rizikos kaina 1,59 %</w:t>
      </w:r>
      <w:hyperlink r:id="rId17">
        <w:r>
          <w:rPr>
            <w:color w:val="2A78D6"/>
            <w:vertAlign w:val="superscript"/>
            <w:sz w:val="17"/>
          </w:rPr>
          <w:t xml:space="preserve">13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Dividendai už 2025 m. – 0,40 EUR akcijai (4,8 mln. EUR)</w:t>
      </w:r>
      <w:hyperlink r:id="rId22">
        <w:r>
          <w:rPr>
            <w:color w:val="2A78D6"/>
            <w:vertAlign w:val="superscript"/>
            <w:sz w:val="17"/>
          </w:rPr>
          <w:t xml:space="preserve">14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Ankstesni planai ir rezultatai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Planas / tikslas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Rezultatas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Kas pasikeitė ir kodėl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Būsena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Plėtra Graikijoje per bendrą įmonę su Eurobank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Sutartis 2026-07; licencijavimas vyksta, pradžia – 2027 m. I ketv.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Naujas planas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Dar vykdoma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Paskolų nuostoliai – tikslo ribose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II ketv. rizikos kaina 1,54 % – tikslo ribose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Įvykdyta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Įvykdyta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Informacija investuotojui ir išvados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Turimos priemonės:</w:t>
      </w:r>
      <w:r>
        <w:rPr>
          <w:b w:val="0"/>
        </w:rPr>
        <w:t xml:space="preserve"> subordinuota 5,5 % obligacija 2031-12-15 (15 mln. EUR) ir AT1 7,5 % neterminuota (4,5 mln. EUR). AT1 kuponus Inbank gali savo nuožiūra atidėti ar atšaukti</w:t>
      </w:r>
      <w:hyperlink r:id="rId23">
        <w:r>
          <w:rPr>
            <w:color w:val="2A78D6"/>
            <w:vertAlign w:val="superscript"/>
            <w:sz w:val="17"/>
          </w:rPr>
          <w:t xml:space="preserve">15</w:t>
        </w:r>
      </w:hyperlink>
      <w:r>
        <w:rPr>
          <w:b w:val="0"/>
        </w:rPr>
        <w:t>. Savininko sąraše nurodyta 2031-12-28 data AT1 obligacijai ataskaitoje nepatvirtinta: ji neterminuota</w:t>
      </w:r>
      <w:hyperlink r:id="rId23">
        <w:r>
          <w:rPr>
            <w:color w:val="2A78D6"/>
            <w:vertAlign w:val="superscript"/>
            <w:sz w:val="17"/>
          </w:rPr>
          <w:t xml:space="preserve">15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Kapitalo atsarga:</w:t>
      </w:r>
      <w:r>
        <w:rPr>
          <w:b w:val="0"/>
        </w:rPr>
        <w:t xml:space="preserve"> bendras kapitalas 18,38 %, kai reikalaujama 14,66 %; CET1 13,15 % (9,85 %)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 Reitingo nėra.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Išvada:</w:t>
      </w:r>
      <w:r>
        <w:rPr>
          <w:b w:val="0"/>
        </w:rPr>
        <w:t xml:space="preserve"> pelnas stabilus, kapitalas ir likvidumas su atsarga. Subordinuotoms priemonėms svarbiausia – kapitalo atsarga virš reikalavimų.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Rinka ir aplinka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Spaudimas maržoms:</w:t>
      </w:r>
      <w:r>
        <w:rPr>
          <w:b w:val="0"/>
        </w:rPr>
        <w:t xml:space="preserve"> portfelio pajamingumas 10,55 % (prieš metus 11,24 %) dėl kintamų palūkanų perkainojimo ir išankstinių grąžinimų Lenkijoje; finansavimo kaina sumažėjo iki 3,64 % (4,06 %)</w:t>
      </w:r>
      <w:hyperlink r:id="rId24">
        <w:r>
          <w:rPr>
            <w:color w:val="2A78D6"/>
            <w:vertAlign w:val="superscript"/>
            <w:sz w:val="17"/>
          </w:rPr>
          <w:t xml:space="preserve">16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Apimtys rekordinės:</w:t>
      </w:r>
      <w:r>
        <w:rPr>
          <w:b w:val="0"/>
        </w:rPr>
        <w:t xml:space="preserve"> suteikta 221 mln. EUR (+13 %), grynosios pajamos 22,0 mln. EUR (+6 %); vertės sumažėjimas 1,54 % – tikslinėse ribose, nes makroaplinka stabili</w:t>
      </w:r>
      <w:hyperlink r:id="rId24">
        <w:r>
          <w:rPr>
            <w:color w:val="2A78D6"/>
            <w:vertAlign w:val="superscript"/>
            <w:sz w:val="17"/>
          </w:rPr>
          <w:t xml:space="preserve">16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Perspektyva:</w:t>
      </w:r>
      <w:r>
        <w:rPr>
          <w:b w:val="0"/>
        </w:rPr>
        <w:t xml:space="preserve"> vadovybė mato maržų gerėjimo ženklų; bendra įmonė su Eurobank Graikijoje turėtų pradėti veiklą 2027 m. I ketv. (laukiama leidimų)</w:t>
      </w:r>
      <w:hyperlink r:id="rId12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Dabar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Prieš 3 mėn.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Prieš 12 mėn.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Pokytis per 12 mėn.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indėlių palūkanų norma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2,50 %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2,25 %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2,64 %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2,34 %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2,03 %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2,92 %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2,10 %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3,25 %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2,80 %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2,17 %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1,08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zonos AAA vyriausybių 10 m. pajamingumas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3,37 %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3,23 %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2,72 %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0,65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zonos infliacija (SVKI, metinė)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1,90 %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2,40 %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0,50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zonos palūkanos ir infliacija (ECB duomenys, mėnesio pabaigos reikšmė; Euribor ir infliacija – mėnesio vidurkis). Svarbu kintamų palūkanų ir perkainojamoms (reset) obligacijoms bei refinansavimo kaštams.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Ką rašo spauda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Išankstinis išpirkimas:</w:t>
      </w:r>
      <w:r>
        <w:rPr>
          <w:b w:val="0"/>
        </w:rPr>
        <w:t xml:space="preserve"> 2026-09-28 Inbank paskelbė pranešimą apie obligacijų išankstinį išpirkimą (su įrašų fiksavimo ir išpirkimo dienomis); kuri emisija – antraštėje nenurodyta</w:t>
      </w:r>
      <w:hyperlink r:id="rId25">
        <w:r>
          <w:rPr>
            <w:color w:val="2A78D6"/>
            <w:vertAlign w:val="superscript"/>
            <w:sz w:val="17"/>
          </w:rPr>
          <w:t xml:space="preserve">17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Lenkija:</w:t>
      </w:r>
      <w:r>
        <w:rPr>
          <w:b w:val="0"/>
        </w:rPr>
        <w:t xml:space="preserve"> 2026-09-30 Inbank paskelbė savo poziciją dėl Lenkijos vartotojų apsaugos tarnybos (UOKiK) sprendimo</w:t>
      </w:r>
      <w:hyperlink r:id="rId26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b w:val="0"/>
        </w:rPr>
        <w:t>.</w:t>
      </w:r>
    </w:p>
    <w:p>
      <w:pPr>
        <w:spacing w:before="40" w:after="60"/>
      </w:pPr>
      <w:r>
        <w:rPr>
          <w:b w:val="0"/>
          <w:color w:val="667085"/>
          <w:sz w:val="18"/>
        </w:rPr>
        <w:t>Automatinė naujienų paieška (Google News, EE), 2026-07-30 – 2026-10-28: 4 pranešimų.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2026-09-30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B42318"/>
                <w:sz w:val="14"/>
                <w:shd w:val="clear" w:color="auto" w:fill="FDE7E5"/>
              </w:rPr>
              <w:t xml:space="preserve"> DĖMESIO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7">
              <w:r>
                <w:rPr>
                  <w:color w:val="1B2430"/>
                  <w:sz w:val="18"/>
                </w:rPr>
                <w:t xml:space="preserve">Inbank sai Poolas miljon eurot trahvi</w:t>
              </w:r>
            </w:hyperlink>
            <w:r>
              <w:rPr>
                <w:b w:val="0"/>
                <w:color w:val="667085"/>
                <w:sz w:val="15"/>
              </w:rPr>
              <w:t xml:space="preserve">   Ärileht  ·  dar 1 panašūs pranešimai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2026-09-28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F5FA8"/>
                <w:sz w:val="14"/>
                <w:shd w:val="clear" w:color="auto" w:fill="E6F0FB"/>
              </w:rPr>
              <w:t xml:space="preserve"> OBLIGACIJOS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5">
              <w:r>
                <w:rPr>
                  <w:color w:val="1B2430"/>
                  <w:sz w:val="18"/>
                </w:rPr>
                <w:t xml:space="preserve">Inbanki võlakirjade ennetähtaegse lunastamise (sh nimekirja fikseerimise päeva ja lunastamispäeva) teade</w:t>
              </w:r>
            </w:hyperlink>
            <w:r>
              <w:rPr>
                <w:b w:val="0"/>
                <w:color w:val="667085"/>
                <w:sz w:val="15"/>
              </w:rPr>
              <w:t xml:space="preserve">   GlobeNewswire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2026-10-23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VADOVAI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8">
              <w:r>
                <w:rPr>
                  <w:color w:val="1B2430"/>
                  <w:sz w:val="18"/>
                </w:rPr>
                <w:t xml:space="preserve">Inbank pikendas juhatuse liikme Margus Kasteini volitusi</w:t>
              </w:r>
            </w:hyperlink>
            <w:r>
              <w:rPr>
                <w:b w:val="0"/>
                <w:color w:val="667085"/>
                <w:sz w:val="15"/>
              </w:rPr>
              <w:t xml:space="preserve">   GlobeNewswire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Vartojimo ir pirkinių finansavimas, automobilių lizingas – veiklos išskirtuose sektoriuose nėra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Ginčų pagal JT Pasaulinį susitarimą ar EBPO gaires nerasta.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Finantsinspektsioon nurodymai: 2023 m. Inbank AS – ištaisyti valdymo, atitikties ir rizikos valdymo trūkumus</w:t>
            </w:r>
            <w:hyperlink r:id="rId29">
              <w:r>
                <w:rPr>
                  <w:color w:val="2A78D6"/>
                  <w:vertAlign w:val="superscript"/>
                  <w:sz w:val="15"/>
                </w:rPr>
                <w:t xml:space="preserve">19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2025-10 Inbank Finance – ištaisyti vartojimo kreditų vertinimo taisykles iki 2025 m. gruodžio vidurio</w:t>
            </w:r>
            <w:hyperlink r:id="rId30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Baudų neskirta.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Nerasta EU, UN, US OFAC konsoliduotuose sankcijų sąrašuose (automatinė patikra 2026-10-28).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Rankinė patikra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OFAC sankcijų paieška</w:t>
            </w:r>
            <w:hyperlink r:id="rId31">
              <w:r>
                <w:rPr>
                  <w:color w:val="2A78D6"/>
                  <w:vertAlign w:val="superscript"/>
                  <w:sz w:val="15"/>
                </w:rPr>
                <w:t xml:space="preserve">21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ES sankcijų žemėlapis</w:t>
            </w:r>
            <w:hyperlink r:id="rId32">
              <w:r>
                <w:rPr>
                  <w:color w:val="2A78D6"/>
                  <w:vertAlign w:val="superscript"/>
                  <w:sz w:val="15"/>
                </w:rPr>
                <w:t xml:space="preserve">22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SEB eNameChecker (vidinė SEB sistema).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Neigiamų naujienų nerasta, išskyrus aukščiau minėtus priežiūros nurodymus ir 2026-09-30 Inbank paskelbtą poziciją dėl Lenkijos vartotojų apsaugos tarnybos (UOKiK) sprendimo</w:t>
            </w:r>
            <w:hyperlink r:id="rId26">
              <w:r>
                <w:rPr>
                  <w:color w:val="2A78D6"/>
                  <w:vertAlign w:val="superscript"/>
                  <w:sz w:val="15"/>
                </w:rPr>
                <w:t xml:space="preserve">18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Naujienų suvestinė 2026-07-30 – 2026-10-28: 4 pranešimų, iš jų su neigiamu žodžiu antraštėje – 1 (plačiau – skiltyje „Ką rašo spauda“).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Antraštės su neigiamu žodžiu: „Inbank sai Poolas miljon eurot trahvi“ (Ärileht, 2026-09-30).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Žaliasis finansavimas (saulės elektrinės, elektromobiliai ir kt.) 2025 m. – 146 mln. EUR, +65 %</w:t>
            </w:r>
            <w:hyperlink r:id="rId17">
              <w:r>
                <w:rPr>
                  <w:color w:val="2A78D6"/>
                  <w:vertAlign w:val="superscript"/>
                  <w:sz w:val="15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Žaliojo finansavimo produktai prisideda prie Paryžiaus tikslų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Atskiro klimato neutralumo tikslo nerasta.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Rimtų geltonų signalų nėra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Priežiūros nurodymai be baudų</w:t>
            </w:r>
            <w:hyperlink r:id="rId29">
              <w:r>
                <w:rPr>
                  <w:color w:val="2A78D6"/>
                  <w:vertAlign w:val="superscript"/>
                  <w:sz w:val="15"/>
                </w:rPr>
                <w:t xml:space="preserve">19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30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Taikoma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Investicijų politika bei aplinkosaugos ir socialinė / žmogaus teisių politikos</w:t>
            </w:r>
            <w:hyperlink r:id="rId33">
              <w:r>
                <w:rPr>
                  <w:color w:val="2A78D6"/>
                  <w:vertAlign w:val="superscript"/>
                  <w:sz w:val="15"/>
                </w:rPr>
                <w:t xml:space="preserve">23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Atitinka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Veiklos išskirtuose sektoriuose nėra, augantis žaliasis finansavimas</w:t>
            </w:r>
            <w:hyperlink r:id="rId17">
              <w:r>
                <w:rPr>
                  <w:color w:val="2A78D6"/>
                  <w:vertAlign w:val="superscript"/>
                  <w:sz w:val="15"/>
                </w:rPr>
                <w:t xml:space="preserve">13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Galėtų būti geriau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Klimato tikslai ir finansuojamos emisijos viešai nerasti.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Nereikia: bankas pelningas, kapitalas su atsarga.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Žaliasis finansavimas – 146 mln. EUR 2025 m.</w:t>
            </w:r>
            <w:hyperlink r:id="rId17">
              <w:r>
                <w:rPr>
                  <w:color w:val="2A78D6"/>
                  <w:vertAlign w:val="superscript"/>
                  <w:sz w:val="15"/>
                </w:rPr>
                <w:t xml:space="preserve">13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II ketv. – 28,4 mln. EUR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Išimčių ir raudonų signalų nėra. Žaliasis finansavimas auga; buvo priežiūros nurodymų dėl valdymo ir kreditų vertinimo (be baudų).</w:t>
      </w:r>
    </w:p>
    <w:p>
      <w:pPr>
        <w:spacing w:before="40" w:after="60"/>
      </w:pPr>
      <w:r>
        <w:rPr>
          <w:b w:val="0"/>
          <w:color w:val="667085"/>
          <w:sz w:val="16"/>
        </w:rPr>
        <w:t>Taikytos SEB politikos: Policy on Sustainability Considerations in Investments (SEB AB); Financial sector - no dedicated SEB sector policy (thematic policies applied);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Šaltiniai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Inbank - Interim report Q2 2026, p. 5, 9, 2026-07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Inbank - Capital adequacy and risk disclosure Q2 2026, p. 2-3, 2026-07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Inbank - Capital adequacy and risk disclosure Q2 2026, p. 3-4, 2026-07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2">
        <w:r>
          <w:rPr>
            <w:color w:val="2A78D6"/>
            <w:sz w:val="17"/>
          </w:rPr>
          <w:t xml:space="preserve">Inbank - Interim report Q2 2026, p. 5, 26, 2026-07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5">
        <w:r>
          <w:rPr>
            <w:color w:val="2A78D6"/>
            <w:sz w:val="17"/>
          </w:rPr>
          <w:t xml:space="preserve">Inbank - Capital adequacy and risk disclosure Q2 2026, p. 4, 2026-07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6">
        <w:r>
          <w:rPr>
            <w:color w:val="2A78D6"/>
            <w:sz w:val="17"/>
          </w:rPr>
          <w:t xml:space="preserve">Inbank - Interim report Q2 2026, p. 8, 2026-07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2">
        <w:r>
          <w:rPr>
            <w:color w:val="2A78D6"/>
            <w:sz w:val="17"/>
          </w:rPr>
          <w:t xml:space="preserve">Inbank - Interim report Q2 2026, p. 5, 2026-07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7">
        <w:r>
          <w:rPr>
            <w:color w:val="2A78D6"/>
            <w:sz w:val="17"/>
          </w:rPr>
          <w:t xml:space="preserve">Inbank publishes audited annual report for 2025, p. -, 2026-03-05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18">
        <w:r>
          <w:rPr>
            <w:color w:val="2A78D6"/>
            <w:sz w:val="17"/>
          </w:rPr>
          <w:t xml:space="preserve">Inbank - Interim report Q2 2026, p. 9, 2026-07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19">
        <w:r>
          <w:rPr>
            <w:color w:val="2A78D6"/>
            <w:sz w:val="17"/>
          </w:rPr>
          <w:t xml:space="preserve">Inbank - Investors (core financial figures), p. -,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14">
        <w:r>
          <w:rPr>
            <w:color w:val="2A78D6"/>
            <w:sz w:val="17"/>
          </w:rPr>
          <w:t xml:space="preserve">Inbank - Capital adequacy and risk disclosure Q2 2026, p. 3, 2026-07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20">
        <w:r>
          <w:rPr>
            <w:color w:val="2A78D6"/>
            <w:sz w:val="17"/>
          </w:rPr>
          <w:t xml:space="preserve">Inbank - Interim report Q2 2026, p. 20, 2026-07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17">
        <w:r>
          <w:rPr>
            <w:color w:val="2A78D6"/>
            <w:sz w:val="17"/>
          </w:rPr>
          <w:t xml:space="preserve">Inbank publishes audited annual report for 2025, 2026-03-05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22">
        <w:r>
          <w:rPr>
            <w:color w:val="2A78D6"/>
            <w:sz w:val="17"/>
          </w:rPr>
          <w:t xml:space="preserve">Inbank - Interim report Q2 2026, p. 11, 2026-07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23">
        <w:r>
          <w:rPr>
            <w:color w:val="2A78D6"/>
            <w:sz w:val="17"/>
          </w:rPr>
          <w:t xml:space="preserve">Inbank - Interim report Q2 2026, p. 26, 2026-07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24">
        <w:r>
          <w:rPr>
            <w:color w:val="2A78D6"/>
            <w:sz w:val="17"/>
          </w:rPr>
          <w:t xml:space="preserve">Inbank - Interim report Q2 2026, p. 4, 2026-07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17.</w:t>
        <w:tab/>
      </w:r>
      <w:hyperlink r:id="rId25">
        <w:r>
          <w:rPr>
            <w:color w:val="2A78D6"/>
            <w:sz w:val="17"/>
          </w:rPr>
          <w:t xml:space="preserve">GlobeNewswire – Inbanki võlakirjade ennetähtaegse lunastamise (sh nimekirja fikseerimise päeva ja lunastamispäeva) teade, 2026-09-28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18.</w:t>
        <w:tab/>
      </w:r>
      <w:hyperlink r:id="rId26">
        <w:r>
          <w:rPr>
            <w:color w:val="2A78D6"/>
            <w:sz w:val="17"/>
          </w:rPr>
          <w:t xml:space="preserve">GlobeNewswire – Inbanki seisukoht UOKiK otsuse kohta Poolas,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19.</w:t>
        <w:tab/>
      </w:r>
      <w:hyperlink r:id="rId29">
        <w:r>
          <w:rPr>
            <w:color w:val="2A78D6"/>
            <w:sz w:val="17"/>
          </w:rPr>
          <w:t xml:space="preserve">Finantsinspektsioon issued a precept to Inbank AS, 2023-10-19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20.</w:t>
        <w:tab/>
      </w:r>
      <w:hyperlink r:id="rId30">
        <w:r>
          <w:rPr>
            <w:color w:val="2A78D6"/>
            <w:sz w:val="17"/>
          </w:rPr>
          <w:t xml:space="preserve">Finantsinspektsioon issued a precept to AS Inbank Finance, 2025-10-14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21.</w:t>
        <w:tab/>
      </w:r>
      <w:hyperlink r:id="rId31">
        <w:r>
          <w:rPr>
            <w:color w:val="2A78D6"/>
            <w:sz w:val="17"/>
          </w:rPr>
          <w:t xml:space="preserve">OFAC Sanctions List Search (US Treasury)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22.</w:t>
        <w:tab/>
      </w:r>
      <w:hyperlink r:id="rId32">
        <w:r>
          <w:rPr>
            <w:color w:val="2A78D6"/>
            <w:sz w:val="17"/>
          </w:rPr>
          <w:t xml:space="preserve">EU Sanctions Map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23.</w:t>
        <w:tab/>
      </w:r>
      <w:hyperlink r:id="rId33">
        <w:r>
          <w:rPr>
            <w:color w:val="2A78D6"/>
            <w:sz w:val="17"/>
          </w:rPr>
          <w:t xml:space="preserve">SEB Policy on Sustainability Considerations in Investments (2026-04-15), p. 5, 7, 2026-04-15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Ataskaita parengta iš viešų šaltinių. Skaičiai pateikiami taip, kaip juos skelbia emitentas; maži numeriai prie teksto veda į šaltinių sąrašą.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Inbank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Inbank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Inbank</w:t>
    </w:r>
    <w:r>
      <w:rPr>
        <w:b w:val="0"/>
        <w:color w:val="667085"/>
        <w:sz w:val="16"/>
      </w:rPr>
      <w:tab/>
      <w:t>Emitento apžvalga · 6M2026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ib-cdn.inbank.eu/documents/ee/en/pdf/reports/Inbank_Interim_Report_2026_Q2.pdf#page=5" TargetMode="External"/><Relationship Id="rId13" Type="http://schemas.openxmlformats.org/officeDocument/2006/relationships/hyperlink" Target="https://ib-cdn.inbank.eu/documents/ee/en/pdf/Inbank_Risk_Disclosure_2026_Q2.pdf#page=2" TargetMode="External"/><Relationship Id="rId14" Type="http://schemas.openxmlformats.org/officeDocument/2006/relationships/hyperlink" Target="https://ib-cdn.inbank.eu/documents/ee/en/pdf/Inbank_Risk_Disclosure_2026_Q2.pdf#page=3" TargetMode="External"/><Relationship Id="rId15" Type="http://schemas.openxmlformats.org/officeDocument/2006/relationships/hyperlink" Target="https://ib-cdn.inbank.eu/documents/ee/en/pdf/Inbank_Risk_Disclosure_2026_Q2.pdf#page=4" TargetMode="External"/><Relationship Id="rId16" Type="http://schemas.openxmlformats.org/officeDocument/2006/relationships/hyperlink" Target="https://ib-cdn.inbank.eu/documents/ee/en/pdf/reports/Inbank_Interim_Report_2026_Q2.pdf#page=8" TargetMode="External"/><Relationship Id="rId17" Type="http://schemas.openxmlformats.org/officeDocument/2006/relationships/hyperlink" Target="https://inbank.eu/news/inbank-publishes-audited-annual-report-for-2025" TargetMode="External"/><Relationship Id="rId18" Type="http://schemas.openxmlformats.org/officeDocument/2006/relationships/hyperlink" Target="https://ib-cdn.inbank.eu/documents/ee/en/pdf/reports/Inbank_Interim_Report_2026_Q2.pdf#page=9" TargetMode="External"/><Relationship Id="rId19" Type="http://schemas.openxmlformats.org/officeDocument/2006/relationships/hyperlink" Target="https://inbank.eu/investors/" TargetMode="External"/><Relationship Id="rId20" Type="http://schemas.openxmlformats.org/officeDocument/2006/relationships/hyperlink" Target="https://ib-cdn.inbank.eu/documents/ee/en/pdf/reports/Inbank_Interim_Report_2026_Q2.pdf#page=20" TargetMode="External"/><Relationship Id="rId21" Type="http://schemas.openxmlformats.org/officeDocument/2006/relationships/image" Target="media/image1.png"/><Relationship Id="rId22" Type="http://schemas.openxmlformats.org/officeDocument/2006/relationships/hyperlink" Target="https://ib-cdn.inbank.eu/documents/ee/en/pdf/reports/Inbank_Interim_Report_2026_Q2.pdf#page=11" TargetMode="External"/><Relationship Id="rId23" Type="http://schemas.openxmlformats.org/officeDocument/2006/relationships/hyperlink" Target="https://ib-cdn.inbank.eu/documents/ee/en/pdf/reports/Inbank_Interim_Report_2026_Q2.pdf#page=26" TargetMode="External"/><Relationship Id="rId24" Type="http://schemas.openxmlformats.org/officeDocument/2006/relationships/hyperlink" Target="https://ib-cdn.inbank.eu/documents/ee/en/pdf/reports/Inbank_Interim_Report_2026_Q2.pdf#page=4" TargetMode="External"/><Relationship Id="rId25" Type="http://schemas.openxmlformats.org/officeDocument/2006/relationships/hyperlink" Target="https://news.google.com/rss/articles/CBMinwJBVV95cUxQLWxsUzZPQ1dScUFIdGFQRFZkQy1RbkJjQmRJTHU3SnVrY3IxYzFBWVR1cnlCeW1PSTB2aEtWeGU4Mm5TWk9HcWZ0WDBUTmd1WDFzTG10TWJIOXJjZ1lyUmpORkNrbGFuXzFfT0ljN01sdUJnck5ER2VuTnVraFRRR29mblVmV1gxWmd1ck9ka2FUc25PWFdKRXhrYVBWRHNFQXJmeGtDV3dSZlByUGNZSUxETWlObTZackY3OUY2Vk9icmZ4djdZaDMxZ1U5c2lwNEZGWWlGdkFkVnFKSWNrSWdtT0NLRnhmb1Zvam5XSE9kVDJEQ0NjMVdyM2RjR0ljVzJqRnBEVW1pdFd1NDRoMmZobnc2bmVMcVRUMlhKTQ?oc=5" TargetMode="External"/><Relationship Id="rId26" Type="http://schemas.openxmlformats.org/officeDocument/2006/relationships/hyperlink" Target="https://news.google.com/rss/articles/CBMitgFBVV95cUxPNngtRHdrOHB3UF9SeW90LXBOd25zWXl5LW8xdU1scTRfQ1dsMUtLTTlORzBSTU43bGtVM1FlOVJxSjVfTzFWcXFvZFc5V3JPZmExVnlZSHQwa0dWN0FHZVU5Q0RpRXBBTmRIRkIwV1JNczBjdlpDWjN1UWlVZk5ncjM2STV1MXIzRHZVSDh0TGo1eGR3VU1aaHVPdEtqNDlYcG51aU96MENDNFR2UE9ybFE0bWVhQQ?oc=5" TargetMode="External"/><Relationship Id="rId27" Type="http://schemas.openxmlformats.org/officeDocument/2006/relationships/hyperlink" Target="https://news.google.com/rss/articles/CBMiiAFBVV95cUxQTWFSNC1zdmNWMDQtRmdKajJNX1VyaGgzczRzMXVPLUVRYjVWZnpBSm12RGJjdFhxdFp4Ynk3aFlra3BBT1JWUzFPUkVGVmxNR1ZRYnNHZHBVenl2UUcwM19Ba2JXSDhLbDllaXhiSXByc1hma1pSWl9hMHNCWmxVcXlaTVV6Wlp5?oc=5" TargetMode="External"/><Relationship Id="rId28" Type="http://schemas.openxmlformats.org/officeDocument/2006/relationships/hyperlink" Target="https://news.google.com/rss/articles/CBMixwFBVV95cUxQTnY4ZEYwU3ZzajhwOGdRLUwxT21kbVVtVTd2SzdEaEFROE5HM29NYXkwVlZjYUpDY25IS0tzTEduVFd2Q2JSSFJMalYxVDlMU2p5b09TQ054RnNBMVlwSXY2cGFoaVhyR3haODlsdWZRUDdEN182Wmtyb1NXNUlHcnI2NVk4bXdSY01uX05abE5RMU9zZHNpWHpvSTh6ZmFLZlVoeEdmNmZVRkFaRFF2YUVzX0lvQ2h6NFZQbmExMUpVTEg4cDNz?oc=5" TargetMode="External"/><Relationship Id="rId29" Type="http://schemas.openxmlformats.org/officeDocument/2006/relationships/hyperlink" Target="https://fi.ee/en/news/finantsinspektsioon-issued-precept-inbank" TargetMode="External"/><Relationship Id="rId30" Type="http://schemas.openxmlformats.org/officeDocument/2006/relationships/hyperlink" Target="https://fi.ee/en/news/finantsinspektsioon-issued-precept-inbank-finance" TargetMode="External"/><Relationship Id="rId31" Type="http://schemas.openxmlformats.org/officeDocument/2006/relationships/hyperlink" Target="https://sanctionssearch.ofac.treas.gov/" TargetMode="External"/><Relationship Id="rId32" Type="http://schemas.openxmlformats.org/officeDocument/2006/relationships/hyperlink" Target="https://www.sanctionsmap.eu/#/main" TargetMode="External"/><Relationship Id="rId33" Type="http://schemas.openxmlformats.org/officeDocument/2006/relationships/hyperlink" Target="https://sebgroup.com/sustainability/our-sustainability-strategy/polic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