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2026-07-30 – 2026-10-28: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3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2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3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4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www.ts.ee/wp-content/uploads/2026/04/Sustainability_Report_2025.pdf" TargetMode="External"/><Relationship Id="rId28" Type="http://schemas.openxmlformats.org/officeDocument/2006/relationships/hyperlink" Target="https://www.ts.ee/wp-content/uploads/2026/04/Sustainability_Report_2025.pdf#page=22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882785365792AC9C12587D700312ACF?opendocument" TargetMode="External"/><Relationship Id="rId31" Type="http://schemas.openxmlformats.org/officeDocument/2006/relationships/hyperlink" Target="https://webapp.sebgroup.com/mb/mblib.nsf/dld/B1113F0C7B3136E4C12587D70030204B?opendocument" TargetMode="External"/><Relationship Id="rId32" Type="http://schemas.openxmlformats.org/officeDocument/2006/relationships/hyperlink" Target="https://www.ts.ee/wp-content/uploads/2026/04/Sustainability_Report_2025.pdf#page=18" TargetMode="External"/><Relationship Id="rId33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