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3,576 %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I pusm. pelnas 10,1 mln. EUR (+15 %), nuosavo kapitalo dalis apie 25 % (mūsų skaičiavimas),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– mūsų skaičiavimas)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paramos paklausa:</w:t>
      </w:r>
      <w:r>
        <w:rPr>
          <w:b w:val="0"/>
        </w:rPr>
        <w:t xml:space="preserve"> paskolų portfelis +86 mln. EUR (+14 %), daugiausia daugiabučių energinio efektyvumo ir investicinės paskolos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nauji sandoriai 346 mln. EUR (+35 %), daugiausia garantijos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Aplinka:</w:t>
      </w:r>
      <w:r>
        <w:rPr>
          <w:b w:val="0"/>
        </w:rPr>
        <w:t xml:space="preserve"> nepaisant geopolitinio neapibrėžtumo verslo aktyvumas išlieka stiprus (statyba, prekyba, gamyba, atsinaujinanti energetika)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nuo 2026 m. Rusijos rezidentams parama visiškai draudžiama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tęsiamos ir pradedamos naujos valstybės programos, planuojamas 100 mln. EUR fondas „Augimui ir gynybai“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2026-07-29 – 2026-10-27: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