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24" w:color="12355B" w:space="0"/>
        </w:pBdr>
        <w:spacing w:before="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030"/>
        <w:gridCol w:w="2608"/>
      </w:tblGrid>
      <w:tr>
        <w:tc>
          <w:tcPr>
            <w:tcW w:type="dxa" w:w="7030"/>
          </w:tcPr>
          <w:p>
            <w:pPr>
              <w:spacing w:before="0" w:after="0"/>
            </w:pPr>
            <w:r>
              <w:rPr>
                <w:b/>
                <w:caps/>
                <w:color w:val="2A78D6"/>
                <w:sz w:val="16"/>
              </w:rPr>
              <w:t>Emitento apžvalga · 6M2026</w:t>
            </w:r>
          </w:p>
          <w:p>
            <w:pPr>
              <w:spacing w:before="40" w:after="0"/>
            </w:pPr>
            <w:r>
              <w:rPr>
                <w:b/>
                <w:color w:val="12355B"/>
                <w:sz w:val="52"/>
              </w:rPr>
              <w:t>Artea bankas</w:t>
            </w:r>
          </w:p>
          <w:p>
            <w:pPr>
              <w:spacing w:before="40" w:after="0"/>
            </w:pPr>
            <w:r>
              <w:rPr>
                <w:b w:val="0"/>
                <w:color w:val="667085"/>
                <w:sz w:val="18"/>
              </w:rPr>
              <w:t>Lietuva</w:t>
            </w:r>
          </w:p>
        </w:tc>
        <w:tc>
          <w:tcPr>
            <w:tcW w:type="dxa" w:w="2608"/>
          </w:tcPr>
          <w:p>
            <w:pPr>
              <w:spacing w:before="440" w:after="0"/>
              <w:jc w:val="right"/>
            </w:pPr>
            <w:r>
              <w:rPr>
                <w:b/>
                <w:color w:val="1B7F3B"/>
                <w:sz w:val="18"/>
                <w:shd w:val="clear" w:color="auto" w:fill="E3F3E8"/>
              </w:rPr>
              <w:t xml:space="preserve">  ●  TVARKINGA  </w:t>
            </w:r>
          </w:p>
        </w:tc>
      </w:tr>
    </w:tbl>
    <w:p>
      <w:pPr>
        <w:pBdr>
          <w:top w:val="single" w:sz="4" w:color="D5DCE4" w:space="0"/>
        </w:pBdr>
        <w:spacing w:before="12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 w:color="12355B" w:space="0"/>
              <w:left w:val="nil"/>
              <w:bottom w:val="nil"/>
              <w:right w:val="nil"/>
            </w:tcBorders>
            <w:shd w:val="clear" w:color="auto" w:fill="F4F6F9"/>
          </w:tcPr>
          <w:p>
            <w:pPr>
              <w:spacing w:before="0" w:after="40"/>
            </w:pPr>
            <w:r>
              <w:rPr>
                <w:b/>
                <w:color w:val="12355B"/>
                <w:sz w:val="18"/>
              </w:rPr>
              <w:t>Pagrindinė informacija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Emitento reitingas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Moody's (2026-04-21): long-term deposits upgraded to A3, senior unsecured Baa1 affirmed, outlook changed from stable to positive</w:t>
            </w:r>
            <w:hyperlink r:id="rId12">
              <w:r>
                <w:rPr>
                  <w:color w:val="2A78D6"/>
                  <w:vertAlign w:val="superscript"/>
                  <w:sz w:val="15"/>
                </w:rPr>
                <w:t xml:space="preserve">1</w:t>
              </w:r>
            </w:hyperlink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Analizės data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2026-10-22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Kita ataskaita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9M 2026 interim report - 2026-10-28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Šalis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Lietuva</w:t>
            </w:r>
          </w:p>
        </w:tc>
        <w:tc>
          <w:tcPr>
            <w:tcW w:type="dxa" w:w="4819"/>
            <w:tcBorders>
              <w:top w:val="single" w:sz="12" w:color="12355B" w:space="0"/>
              <w:left w:val="nil"/>
              <w:bottom w:val="nil"/>
              <w:right w:val="nil"/>
            </w:tcBorders>
            <w:shd w:val="clear" w:color="auto" w:fill="F4F6F9"/>
          </w:tcPr>
          <w:p>
            <w:pPr>
              <w:spacing w:before="0" w:after="40"/>
            </w:pPr>
            <w:r>
              <w:rPr>
                <w:b/>
                <w:color w:val="12355B"/>
                <w:sz w:val="18"/>
              </w:rPr>
              <w:t>Turimi vertybiniai popieriai</w:t>
            </w:r>
          </w:p>
          <w:p>
            <w:pPr>
              <w:spacing w:before="80" w:after="0"/>
            </w:pPr>
            <w:r>
              <w:rPr>
                <w:b/>
                <w:color w:val="1B2430"/>
                <w:sz w:val="17"/>
              </w:rPr>
              <w:t>Artea bankas 8.75% AT1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XS2922133363  ·  8,75 % · neterminuota</w:t>
            </w:r>
          </w:p>
          <w:p>
            <w:pPr>
              <w:spacing w:before="0" w:after="0"/>
            </w:pPr>
            <w:r>
              <w:rPr>
                <w:b w:val="0"/>
                <w:color w:val="12355B"/>
                <w:sz w:val="15"/>
              </w:rPr>
              <w:t>atskiro nerasta</w:t>
            </w:r>
          </w:p>
          <w:p>
            <w:pPr>
              <w:spacing w:before="80" w:after="0"/>
            </w:pPr>
            <w:r>
              <w:rPr>
                <w:b/>
                <w:color w:val="1B2430"/>
                <w:sz w:val="17"/>
              </w:rPr>
              <w:t>Artea bankas 4.85% senior preferred 2028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XS2887816564  ·  4,853 % · 2028-12-05</w:t>
            </w:r>
          </w:p>
          <w:p>
            <w:pPr>
              <w:spacing w:before="0" w:after="0"/>
            </w:pPr>
            <w:r>
              <w:rPr>
                <w:b w:val="0"/>
                <w:color w:val="12355B"/>
                <w:sz w:val="15"/>
              </w:rPr>
              <w:t>atskiro nerasta</w:t>
            </w:r>
          </w:p>
          <w:p>
            <w:pPr>
              <w:spacing w:before="80" w:after="0"/>
            </w:pPr>
            <w:r>
              <w:rPr>
                <w:b/>
                <w:color w:val="1B2430"/>
                <w:sz w:val="17"/>
              </w:rPr>
              <w:t>Artea bankas 4.60% senior preferred 2030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XS3025213102  ·  4,597 % · 2030-06-25</w:t>
            </w:r>
          </w:p>
          <w:p>
            <w:pPr>
              <w:spacing w:before="0" w:after="0"/>
            </w:pPr>
            <w:r>
              <w:rPr>
                <w:b w:val="0"/>
                <w:color w:val="12355B"/>
                <w:sz w:val="15"/>
              </w:rPr>
              <w:t>atskiro nerasta</w:t>
            </w:r>
          </w:p>
          <w:p>
            <w:pPr>
              <w:spacing w:before="80" w:after="0"/>
            </w:pPr>
            <w:r>
              <w:rPr>
                <w:b/>
                <w:color w:val="1B2430"/>
                <w:sz w:val="17"/>
              </w:rPr>
              <w:t>Artea bankas 10.75% subordinated 2033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LT0000407751  ·  10,75 % · 2033-06-22</w:t>
            </w:r>
          </w:p>
          <w:p>
            <w:pPr>
              <w:spacing w:before="0" w:after="0"/>
            </w:pPr>
            <w:r>
              <w:rPr>
                <w:b w:val="0"/>
                <w:color w:val="12355B"/>
                <w:sz w:val="15"/>
              </w:rPr>
              <w:t>atskiro nerasta</w:t>
            </w:r>
          </w:p>
          <w:p>
            <w:pPr>
              <w:spacing w:before="80" w:after="0"/>
            </w:pPr>
            <w:r>
              <w:rPr>
                <w:b/>
                <w:color w:val="1B2430"/>
                <w:sz w:val="17"/>
              </w:rPr>
              <w:t>Artea bankas 3.74% senior preferred 2029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XS3191554495  ·  3,739 % · 2029-07-10</w:t>
            </w:r>
          </w:p>
          <w:p>
            <w:pPr>
              <w:spacing w:before="0" w:after="0"/>
            </w:pPr>
            <w:r>
              <w:rPr>
                <w:b w:val="0"/>
                <w:color w:val="12355B"/>
                <w:sz w:val="15"/>
              </w:rPr>
              <w:t>atskiro nerasta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80" w:type="dxa"/>
          <w:left w:w="260" w:type="dxa"/>
          <w:bottom w:w="200" w:type="dxa"/>
          <w:right w:w="26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nil"/>
              <w:left w:val="single" w:sz="24" w:color="1B7F3B" w:space="0"/>
              <w:bottom w:val="nil"/>
              <w:right w:val="nil"/>
            </w:tcBorders>
            <w:shd w:val="clear" w:color="auto" w:fill="E3F3E8"/>
          </w:tcPr>
          <w:p>
            <w:pPr>
              <w:spacing w:before="0" w:after="0" w:line="276" w:lineRule="auto"/>
            </w:pPr>
            <w:r>
              <w:rPr>
                <w:b/>
                <w:color w:val="1B2430"/>
                <w:sz w:val="21"/>
              </w:rPr>
              <w:t>Pozicija tvarkinga, tačiau pelnas mažėja.</w:t>
            </w:r>
            <w:r>
              <w:rPr>
                <w:b w:val="0"/>
                <w:color w:val="1B2430"/>
                <w:sz w:val="21"/>
              </w:rPr>
              <w:t xml:space="preserve"> I pusm. pelnas 23,2 mln. EUR, prieš metus 31,9 mln.; ROE 7,8 %</w:t>
            </w:r>
            <w:hyperlink r:id="rId13">
              <w:r>
                <w:rPr>
                  <w:color w:val="2A78D6"/>
                  <w:vertAlign w:val="superscript"/>
                  <w:sz w:val="17"/>
                </w:rPr>
                <w:t xml:space="preserve">2</w:t>
              </w:r>
            </w:hyperlink>
            <w:r>
              <w:rPr>
                <w:b w:val="0"/>
                <w:color w:val="1B2430"/>
                <w:sz w:val="21"/>
              </w:rPr>
              <w:t>. Kapitalas (21,5 %) ir likvidumas (LCR 179 %) – su atsarga, o Moody's 2026 m. balandį reitingą pagerino</w:t>
            </w:r>
            <w:hyperlink r:id="rId13">
              <w:r>
                <w:rPr>
                  <w:color w:val="2A78D6"/>
                  <w:vertAlign w:val="superscript"/>
                  <w:sz w:val="17"/>
                </w:rPr>
                <w:t xml:space="preserve">3</w:t>
              </w:r>
            </w:hyperlink>
            <w:r>
              <w:rPr>
                <w:b w:val="0"/>
                <w:color w:val="1B2430"/>
                <w:sz w:val="21"/>
              </w:rPr>
              <w:t>.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50" w:type="dxa"/>
          <w:left w:w="170" w:type="dxa"/>
          <w:bottom w:w="150" w:type="dxa"/>
          <w:right w:w="100" w:type="dxa"/>
        </w:tblCellMar>
        <w:tblLook w:firstColumn="1" w:firstRow="1" w:lastColumn="0" w:lastRow="0" w:noHBand="0" w:noVBand="1" w:val="04A0"/>
      </w:tblPr>
      <w:tblGrid>
        <w:gridCol w:w="2260"/>
        <w:gridCol w:w="198"/>
        <w:gridCol w:w="2260"/>
        <w:gridCol w:w="198"/>
        <w:gridCol w:w="2260"/>
        <w:gridCol w:w="198"/>
        <w:gridCol w:w="2260"/>
      </w:tblGrid>
      <w:tr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Grynasis pelnas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23,2</w:t>
            </w:r>
            <w:r>
              <w:rPr>
                <w:b w:val="0"/>
                <w:color w:val="667085"/>
                <w:sz w:val="18"/>
              </w:rPr>
              <w:t xml:space="preserve"> mln. EUR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▼ 27,3 % vs 6M2025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ROE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7,8</w:t>
            </w:r>
            <w:r>
              <w:rPr>
                <w:b w:val="0"/>
                <w:color w:val="667085"/>
                <w:sz w:val="18"/>
              </w:rPr>
              <w:t xml:space="preserve"> %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▼ 3,3 p. p. vs 6M2025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Bendrasis kapitalo rodiklis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21,5</w:t>
            </w:r>
            <w:r>
              <w:rPr>
                <w:b w:val="0"/>
                <w:color w:val="667085"/>
                <w:sz w:val="18"/>
              </w:rPr>
              <w:t xml:space="preserve"> %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▲ 0,35 p. p. vs FY2025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LCR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179</w:t>
            </w:r>
            <w:r>
              <w:rPr>
                <w:b w:val="0"/>
                <w:color w:val="667085"/>
                <w:sz w:val="18"/>
              </w:rPr>
              <w:t xml:space="preserve"> %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▼ 29 p. p. vs FY2025</w:t>
            </w:r>
          </w:p>
        </w:tc>
      </w:tr>
    </w:tbl>
    <w:p>
      <w:pPr>
        <w:spacing w:before="0" w:after="40"/>
      </w:pPr>
    </w:p>
    <w:p>
      <w:pPr>
        <w:keepNext/>
        <w:spacing w:before="200" w:after="100"/>
      </w:pPr>
      <w:r>
        <w:rPr>
          <w:b/>
          <w:color w:val="12355B"/>
          <w:sz w:val="26"/>
        </w:rPr>
        <w:t>Trumpa santrauka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Pelnas mažesnis:</w:t>
      </w:r>
      <w:r>
        <w:rPr>
          <w:b w:val="0"/>
        </w:rPr>
        <w:t xml:space="preserve"> I pusm. grynasis pelnas 23,2 mln. EUR (prieš metus 31,9 mln.), ROE 7,8 % (11,1 %). Palūkanų pajamos išaugo 6 % iki 72,5 mln. EUR, bet sąnaudos augo greičiau: sąnaudų / pajamų santykis 56,8 %</w:t>
      </w:r>
      <w:hyperlink r:id="rId13">
        <w:r>
          <w:rPr>
            <w:color w:val="2A78D6"/>
            <w:vertAlign w:val="superscript"/>
            <w:sz w:val="17"/>
          </w:rPr>
          <w:t xml:space="preserve">3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Paskolų kokybė gera:</w:t>
      </w:r>
      <w:r>
        <w:rPr>
          <w:b w:val="0"/>
        </w:rPr>
        <w:t xml:space="preserve"> rizikos kaina 0,01 % (0,24 %), trečios stadijos paskolos 2,4 % (mūsų skaičiavimas)</w:t>
      </w:r>
      <w:hyperlink r:id="rId13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Reitingas pagerėjo:</w:t>
      </w:r>
      <w:r>
        <w:rPr>
          <w:b w:val="0"/>
        </w:rPr>
        <w:t xml:space="preserve"> 2026-04-21 Moody's indėlių reitingą pakėlė iki A3, pirmaeilės skolos reitingas Baa1, perspektyva – teigiama</w:t>
      </w:r>
      <w:hyperlink r:id="rId12">
        <w:r>
          <w:rPr>
            <w:color w:val="2A78D6"/>
            <w:vertAlign w:val="superscript"/>
            <w:sz w:val="17"/>
          </w:rPr>
          <w:t xml:space="preserve">1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Keičiasi akcininkai ir vadovybė:</w:t>
      </w:r>
      <w:r>
        <w:rPr>
          <w:b w:val="0"/>
        </w:rPr>
        <w:t xml:space="preserve"> Tesonet Global ketina padidinti dalį iki 31,68 % ir siekti kontrolės (ECB leidimas, iki 2027 m. I ketv.); laikinai einančiu vadovo pareigas paskirtas Tomas Varenbergas</w:t>
      </w:r>
      <w:hyperlink r:id="rId13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01</w:t>
        <w:tab/>
      </w:r>
      <w:r>
        <w:rPr>
          <w:b/>
          <w:color w:val="12355B"/>
          <w:sz w:val="28"/>
        </w:rPr>
        <w:t>Turimos priemonės ir ISIN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1457"/>
        <w:gridCol w:w="2241"/>
        <w:gridCol w:w="1064"/>
        <w:gridCol w:w="1120"/>
        <w:gridCol w:w="1569"/>
        <w:gridCol w:w="2185"/>
      </w:tblGrid>
      <w:tr>
        <w:tc>
          <w:tcPr>
            <w:tcW w:type="dxa" w:w="14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ISIN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Priemonė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Kuponas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Išpirkimas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Emisijos reitingas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Pastaba</w:t>
            </w:r>
          </w:p>
        </w:tc>
      </w:tr>
      <w:tr>
        <w:tc>
          <w:tcPr>
            <w:tcW w:type="dxa" w:w="14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XS2922133363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Artea bankas 8.75% AT1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8,75 %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neterminuota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atskiro nerasta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Additional Tier 1 (perpetual); issuer table shows end date 2029-10-17</w:t>
            </w:r>
          </w:p>
        </w:tc>
      </w:tr>
      <w:tr>
        <w:tc>
          <w:tcPr>
            <w:tcW w:type="dxa" w:w="14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XS2887816564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Artea bankas 4.85% senior preferred 2028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4,853 %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2028-12-05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atskiro nerasta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Senior preferred</w:t>
            </w:r>
          </w:p>
        </w:tc>
      </w:tr>
      <w:tr>
        <w:tc>
          <w:tcPr>
            <w:tcW w:type="dxa" w:w="14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XS3025213102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Artea bankas 4.60% senior preferred 2030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4,597 %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2030-06-25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atskiro nerasta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Senior preferred</w:t>
            </w:r>
          </w:p>
        </w:tc>
      </w:tr>
      <w:tr>
        <w:tc>
          <w:tcPr>
            <w:tcW w:type="dxa" w:w="14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LT0000407751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Artea bankas 10.75% subordinated 2033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10,75 %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2033-06-22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atskiro nerasta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Subordinated</w:t>
            </w:r>
          </w:p>
        </w:tc>
      </w:tr>
      <w:tr>
        <w:tc>
          <w:tcPr>
            <w:tcW w:type="dxa" w:w="14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XS3191554495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Artea bankas 3.74% senior preferred 2029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3,739 %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2029-07-10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atskiro nerasta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Senior preferred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02</w:t>
        <w:tab/>
      </w:r>
      <w:r>
        <w:rPr>
          <w:b/>
          <w:color w:val="12355B"/>
          <w:sz w:val="28"/>
        </w:rPr>
        <w:t>Pagrindiniai rodikliai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2864"/>
        <w:gridCol w:w="1156"/>
        <w:gridCol w:w="1156"/>
        <w:gridCol w:w="1156"/>
        <w:gridCol w:w="1156"/>
        <w:gridCol w:w="2148"/>
      </w:tblGrid>
      <w:tr>
        <w:tc>
          <w:tcPr>
            <w:tcW w:type="dxa" w:w="286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Rodiklis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FY2024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FY2025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6M2025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6M2026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Pokytis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Grynasis pelnas, mln. EUR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78,8*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60,7*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31,9*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23,2*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27,3 %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Grynosios palūkanų pajamos, mln. EUR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160,2*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138,3*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68,4*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72,5*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6,0 %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Visos veiklos pajamos, mln. EUR</w:t>
            </w:r>
            <w:hyperlink r:id="rId14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203,0*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189,8*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95,8*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94,0*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1,9 %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Sąnaudų ir pajamų santykis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47,1 %*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58,8 %*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55,2 %*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FDF1D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56,8 %*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▲ 1,6 p. p.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ROE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14,0 %*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10,4 %*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11,1 %*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FDE7E5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7,8 %*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3,3 p. p.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Rizikos kaina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0,35 %*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0,13 %*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0,24 %*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0,01 %*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▼ 0,23 p. p.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Grynoji palūkanų marža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2">
              <w:r>
                <w:rPr>
                  <w:color w:val="2A78D6"/>
                  <w:vertAlign w:val="superscript"/>
                  <w:sz w:val="14"/>
                </w:rPr>
                <w:t xml:space="preserve">1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3,7 %*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2,6 %*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2,9 %*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2,4 %*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0,5 p. p.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Paskolos klientams, mln. EUR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3 763*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4 012*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6,6 % vs FY2025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Klientų indėliai, mln. EUR</w:t>
            </w:r>
            <w:hyperlink r:id="rId20">
              <w:r>
                <w:rPr>
                  <w:color w:val="2A78D6"/>
                  <w:vertAlign w:val="superscript"/>
                  <w:sz w:val="14"/>
                </w:rPr>
                <w:t xml:space="preserve">12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1">
              <w:r>
                <w:rPr>
                  <w:color w:val="2A78D6"/>
                  <w:vertAlign w:val="superscript"/>
                  <w:sz w:val="14"/>
                </w:rPr>
                <w:t xml:space="preserve">13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3 397*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3 961*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4 061*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2,5 % vs FY2025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Bendrasis kapitalo rodiklis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24,38 %*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21,15 %*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21,5 %*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0,35 p. p. vs FY2025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MREL (% TREA)</w:t>
            </w:r>
            <w:hyperlink r:id="rId22">
              <w:r>
                <w:rPr>
                  <w:color w:val="2A78D6"/>
                  <w:vertAlign w:val="superscript"/>
                  <w:sz w:val="14"/>
                </w:rPr>
                <w:t xml:space="preserve">14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2">
              <w:r>
                <w:rPr>
                  <w:color w:val="2A78D6"/>
                  <w:vertAlign w:val="superscript"/>
                  <w:sz w:val="14"/>
                </w:rPr>
                <w:t xml:space="preserve">1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22,73 %*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23,59 %*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0,86 p. p. vs FY2025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LCR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208 %*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179 %*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29 p. p. vs FY2025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Neveiksnių paskolų dalis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10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2,79 %ᶜ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FDF1D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2,42 %ᶜ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▼ 0,37 p. p. vs FY2025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Dividendai akcijai, EUR</w:t>
            </w:r>
            <w:hyperlink r:id="rId23">
              <w:r>
                <w:rPr>
                  <w:color w:val="2A78D6"/>
                  <w:vertAlign w:val="superscript"/>
                  <w:sz w:val="14"/>
                </w:rPr>
                <w:t xml:space="preserve">15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0,061*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0,047*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23,0 % vs FY2024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667085"/>
          <w:sz w:val="16"/>
        </w:rPr>
        <w:t>Spalvos: žalias pokytis – rodiklis gerėja, raudonas – blogėja. Paskutinio laikotarpio langelio fonas: žalias – geras lygis, geltonas – vidutinis, raudonas – silpnas (vidiniai orientyrai, config/metric_rules.yaml).</w:t>
      </w:r>
    </w:p>
    <w:p>
      <w:pPr>
        <w:spacing w:before="40" w:after="60"/>
      </w:pPr>
      <w:r>
        <w:rPr>
          <w:b w:val="0"/>
          <w:color w:val="667085"/>
          <w:sz w:val="16"/>
        </w:rPr>
        <w:t>* – paimta iš ataskaitos santraukos;  ᶜ – mūsų skaičiavimas. Mažas numeris prie teksto – nuoroda į šaltinį (paspaudus atsidaro dokumentas reikiamame puslapyje).</w:t>
      </w:r>
    </w:p>
    <w:p>
      <w:r>
        <w:drawing>
          <wp:inline xmlns:a="http://schemas.openxmlformats.org/drawingml/2006/main" xmlns:pic="http://schemas.openxmlformats.org/drawingml/2006/picture">
            <wp:extent cx="6120000" cy="17138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ea_l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13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03</w:t>
        <w:tab/>
      </w:r>
      <w:r>
        <w:rPr>
          <w:b/>
          <w:color w:val="12355B"/>
          <w:sz w:val="28"/>
        </w:rPr>
        <w:t>Veiklos apžvalga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Paskolos augo 8 % per metus ir viršijo 3,9 mlrd. EUR; indėliai – 4 061 mln. EUR (+15 %)</w:t>
      </w:r>
      <w:hyperlink r:id="rId13">
        <w:r>
          <w:rPr>
            <w:color w:val="2A78D6"/>
            <w:vertAlign w:val="superscript"/>
            <w:sz w:val="17"/>
          </w:rPr>
          <w:t xml:space="preserve">16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Grynoji palūkanų marža 2,4 % (prieš metus 2,9 %) – mažėja dėl žemesnių palūkanų normų</w:t>
      </w:r>
      <w:hyperlink r:id="rId12">
        <w:r>
          <w:rPr>
            <w:color w:val="2A78D6"/>
            <w:vertAlign w:val="superscript"/>
            <w:sz w:val="17"/>
          </w:rPr>
          <w:t xml:space="preserve">1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Vyksta pagrindinės bankinės sistemos keitimas; 2025 m. bankas pakeitė pavadinimą į „Artea“</w:t>
      </w:r>
      <w:hyperlink r:id="rId15">
        <w:r>
          <w:rPr>
            <w:color w:val="2A78D6"/>
            <w:vertAlign w:val="superscript"/>
            <w:sz w:val="17"/>
          </w:rPr>
          <w:t xml:space="preserve">17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04</w:t>
        <w:tab/>
      </w:r>
      <w:r>
        <w:rPr>
          <w:b/>
          <w:color w:val="12355B"/>
          <w:sz w:val="28"/>
        </w:rPr>
        <w:t>Finansai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2025 m. grynasis pelnas 60,7 mln. EUR (2024 m. – 78,8 mln.), ROE 10,4 % (14,0 %); grynosios palūkanų pajamos 138,3 mln. EUR (−14 %)</w:t>
      </w:r>
      <w:hyperlink r:id="rId15">
        <w:r>
          <w:rPr>
            <w:color w:val="2A78D6"/>
            <w:vertAlign w:val="superscript"/>
            <w:sz w:val="17"/>
          </w:rPr>
          <w:t xml:space="preserve">18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Bendras kapitalo rodiklis 21,5 % (2025 m. pab. 21,15 %), MREL 23,59 % TREA, LCR 179 %</w:t>
      </w:r>
      <w:hyperlink r:id="rId13">
        <w:r>
          <w:rPr>
            <w:color w:val="2A78D6"/>
            <w:vertAlign w:val="superscript"/>
            <w:sz w:val="17"/>
          </w:rPr>
          <w:t xml:space="preserve">3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Dividendai už 2025 m. – 0,047 EUR akcijai (30,4 mln. EUR), už 2024 m. – 0,061 EUR; 2026 m. sausį baigtas akcijų supirkimas (2,6 mln. EUR)</w:t>
      </w:r>
      <w:hyperlink r:id="rId23">
        <w:r>
          <w:rPr>
            <w:color w:val="2A78D6"/>
            <w:vertAlign w:val="superscript"/>
            <w:sz w:val="17"/>
          </w:rPr>
          <w:t xml:space="preserve">19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05</w:t>
        <w:tab/>
      </w:r>
      <w:r>
        <w:rPr>
          <w:b/>
          <w:color w:val="12355B"/>
          <w:sz w:val="28"/>
        </w:rPr>
        <w:t>Ankstesni planai ir rezultatai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2577"/>
        <w:gridCol w:w="2577"/>
        <w:gridCol w:w="3138"/>
        <w:gridCol w:w="1344"/>
      </w:tblGrid>
      <w:tr>
        <w:tc>
          <w:tcPr>
            <w:tcW w:type="dxa" w:w="257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Planas / tikslas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Rezultatas</w:t>
            </w:r>
          </w:p>
        </w:tc>
        <w:tc>
          <w:tcPr>
            <w:tcW w:type="dxa" w:w="313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Kas pasikeitė ir kodėl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Būsena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Strategija 2026–2028: tapti geriausiu banku Lietuvoje iki 2029 m.; ilgalaikis ROE &gt;17 %, bendra akcininkų grąža &gt;20 %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6M 2026 ROE 7,8 %</w:t>
            </w:r>
            <w:hyperlink r:id="rId25">
              <w:r>
                <w:rPr>
                  <w:color w:val="2A78D6"/>
                  <w:vertAlign w:val="superscript"/>
                  <w:sz w:val="14"/>
                </w:rPr>
                <w:t xml:space="preserve">20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6">
              <w:r>
                <w:rPr>
                  <w:color w:val="2A78D6"/>
                  <w:vertAlign w:val="superscript"/>
                  <w:sz w:val="14"/>
                </w:rPr>
                <w:t xml:space="preserve">21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Kol kas toli nuo tikslo: mažėja palūkanų marža, didėja sąnaudos (sistemos keitimas, prekės ženklas)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3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sz w:val="17"/>
              </w:rPr>
              <w:t>Dar vykdoma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Dividendai – ne mažiau kaip 50 % praėjusių metų pelno; už 2025 m. siūlyta iki 70 % (50 % dividendais, iki 20 % supirkimui)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Už 2025 m. išmokėta 52,2 % pelno dividendais</w:t>
            </w:r>
            <w:hyperlink r:id="rId27">
              <w:r>
                <w:rPr>
                  <w:color w:val="2A78D6"/>
                  <w:vertAlign w:val="superscript"/>
                  <w:sz w:val="14"/>
                </w:rPr>
                <w:t xml:space="preserve">22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17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3">
              <w:r>
                <w:rPr>
                  <w:color w:val="2A78D6"/>
                  <w:vertAlign w:val="superscript"/>
                  <w:sz w:val="14"/>
                </w:rPr>
                <w:t xml:space="preserve">15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Įvykdyta</w:t>
            </w:r>
            <w:hyperlink r:id="rId23">
              <w:r>
                <w:rPr>
                  <w:color w:val="2A78D6"/>
                  <w:vertAlign w:val="superscript"/>
                  <w:sz w:val="14"/>
                </w:rPr>
                <w:t xml:space="preserve">15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</w:pPr>
            <w:r>
              <w:rPr>
                <w:b/>
                <w:sz w:val="17"/>
              </w:rPr>
              <w:t>Įvykdyta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2026 m. – apie 15 % verslo paskolų portfelio augimas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Visos paskolos +8 % per metus (I pusm.)</w:t>
            </w:r>
            <w:hyperlink r:id="rId28">
              <w:r>
                <w:rPr>
                  <w:color w:val="2A78D6"/>
                  <w:vertAlign w:val="superscript"/>
                  <w:sz w:val="14"/>
                </w:rPr>
                <w:t xml:space="preserve">23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Vykdoma; verslo paskolų augimas atskirai nenurodytas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sz w:val="17"/>
              </w:rPr>
              <w:t>Dar vykdoma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06</w:t>
        <w:tab/>
      </w:r>
      <w:r>
        <w:rPr>
          <w:b/>
          <w:color w:val="12355B"/>
          <w:sz w:val="28"/>
        </w:rPr>
        <w:t>Informacija investuotojui ir išvados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Turimos priemonės:</w:t>
      </w:r>
      <w:r>
        <w:rPr>
          <w:b w:val="0"/>
        </w:rPr>
        <w:t xml:space="preserve"> trys pirmaeilės privilegijuotos (senior preferred) obligacijos po 300 mln. EUR – 4,85 % 2028-12-05, 3,74 % 2029-07-10 ir 4,60 % 2030-06-25; subordinuota 10,75 % 2033 (50 mln. EUR); AT1 8,75 % (50 mln. EUR, emitento lentelėje data 2029-10-17)</w:t>
      </w:r>
      <w:hyperlink r:id="rId27">
        <w:r>
          <w:rPr>
            <w:color w:val="2A78D6"/>
            <w:vertAlign w:val="superscript"/>
            <w:sz w:val="17"/>
          </w:rPr>
          <w:t xml:space="preserve">22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Reitingas:</w:t>
      </w:r>
      <w:r>
        <w:rPr>
          <w:b w:val="0"/>
        </w:rPr>
        <w:t xml:space="preserve"> pirmaeilei skolai Baa1, perspektyva teigiama – tai teigiama žinia visoms turimoms obligacijoms</w:t>
      </w:r>
      <w:hyperlink r:id="rId12">
        <w:r>
          <w:rPr>
            <w:color w:val="2A78D6"/>
            <w:vertAlign w:val="superscript"/>
            <w:sz w:val="17"/>
          </w:rPr>
          <w:t xml:space="preserve">1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Subordinuotoms obligacijoms ir AT1:</w:t>
      </w:r>
      <w:r>
        <w:rPr>
          <w:b w:val="0"/>
        </w:rPr>
        <w:t xml:space="preserve"> bendras kapitalas 21,5 % ir MREL 23,59 % – su atsarga; 2026 m. I pusm. naujų obligacijų neišleista</w:t>
      </w:r>
      <w:hyperlink r:id="rId13">
        <w:r>
          <w:rPr>
            <w:color w:val="2A78D6"/>
            <w:vertAlign w:val="superscript"/>
            <w:sz w:val="17"/>
          </w:rPr>
          <w:t xml:space="preserve">24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Kontrolės pasikeitimas:</w:t>
      </w:r>
      <w:r>
        <w:rPr>
          <w:b w:val="0"/>
        </w:rPr>
        <w:t xml:space="preserve"> jei Tesonet įgis kontrolę (reikia ECB leidimo), keisis strateginis savininkas; obligacijų sąlygos dėl kontrolės pasikeitimo viešai skelbtuose šaltiniuose nerastos</w:t>
      </w:r>
      <w:hyperlink r:id="rId12">
        <w:r>
          <w:rPr>
            <w:color w:val="2A78D6"/>
            <w:vertAlign w:val="superscript"/>
            <w:sz w:val="17"/>
          </w:rPr>
          <w:t xml:space="preserve">25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Išvada:</w:t>
      </w:r>
      <w:r>
        <w:rPr>
          <w:b w:val="0"/>
        </w:rPr>
        <w:t xml:space="preserve"> pelningumas mažėja, tačiau kapitalas, likvidumas ir paskolų kokybė – geri, o reitingas pagerėjo. 9M rezultatai bus paskelbti 2026-10-28.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07</w:t>
        <w:tab/>
      </w:r>
      <w:r>
        <w:rPr>
          <w:b/>
          <w:color w:val="12355B"/>
          <w:sz w:val="28"/>
        </w:rPr>
        <w:t>Rinka ir aplinka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Pensijų reforma:</w:t>
      </w:r>
      <w:r>
        <w:rPr>
          <w:b w:val="0"/>
        </w:rPr>
        <w:t xml:space="preserve"> grynasis pelnas 23,2 mln. EUR (–27 %) dėl vienkartinio prestižo nuvertėjimo, kilusio iš pensijų reformos; dalis atsiimtų pensijų lėšų panaudota vartojimo paskoloms grąžinti</w:t>
      </w:r>
      <w:hyperlink r:id="rId13">
        <w:r>
          <w:rPr>
            <w:color w:val="2A78D6"/>
            <w:vertAlign w:val="superscript"/>
            <w:sz w:val="17"/>
          </w:rPr>
          <w:t xml:space="preserve">2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Pagrindinė veikla auga:</w:t>
      </w:r>
      <w:r>
        <w:rPr>
          <w:b w:val="0"/>
        </w:rPr>
        <w:t xml:space="preserve"> grynosios palūkanų pajamos +6 % iki 72,5 mln. EUR, paskolos +8 % (&gt;3,9 mlrd. EUR), indėliai +15 %; atidėjiniai tik 0,3 mln. EUR (rizikos kaina 0,01 %)</w:t>
      </w:r>
      <w:hyperlink r:id="rId13">
        <w:r>
          <w:rPr>
            <w:color w:val="2A78D6"/>
            <w:vertAlign w:val="superscript"/>
            <w:sz w:val="17"/>
          </w:rPr>
          <w:t xml:space="preserve">2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Rizika:</w:t>
      </w:r>
      <w:r>
        <w:rPr>
          <w:b w:val="0"/>
        </w:rPr>
        <w:t xml:space="preserve"> didžiausią neapibrėžtumą bankas mato geopolitikos poveikyje platesnei ekonomikai</w:t>
      </w:r>
      <w:hyperlink r:id="rId12">
        <w:r>
          <w:rPr>
            <w:color w:val="2A78D6"/>
            <w:vertAlign w:val="superscript"/>
            <w:sz w:val="17"/>
          </w:rPr>
          <w:t xml:space="preserve">1</w:t>
        </w:r>
      </w:hyperlink>
      <w:r>
        <w:rPr>
          <w:b w:val="0"/>
        </w:rPr>
        <w:t>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3515"/>
        <w:gridCol w:w="1814"/>
        <w:gridCol w:w="1360"/>
        <w:gridCol w:w="1360"/>
        <w:gridCol w:w="1587"/>
      </w:tblGrid>
      <w:tr>
        <w:tc>
          <w:tcPr>
            <w:tcW w:type="dxa" w:w="351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</w:r>
          </w:p>
        </w:tc>
        <w:tc>
          <w:tcPr>
            <w:tcW w:type="dxa" w:w="181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Dabar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Prieš 3 mėn.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Prieš 12 mėn.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Pokytis per 12 mėn.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ECB indėlių palūkanų norma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2,50 %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2,25 %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3 mėn.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2,64 %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2,34 %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2,03 %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0,61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6 mėn.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2,92 %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2,60 %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2,10 %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0,82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12 mėn.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3,25 %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2,80 %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2,17 %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1,08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Euro zonos AAA vyriausybių 10 m. pajamingumas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3,37 % (2026-10)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3,23 %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2,72 %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0,65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Euro zonos infliacija (SVKI, metinė)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1,90 % (2025-12)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2,20 %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2,40 %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▼ 0,50 p. p.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667085"/>
          <w:sz w:val="16"/>
        </w:rPr>
        <w:t>Euro zonos palūkanos ir infliacija (ECB duomenys, mėnesio pabaigos reikšmė; Euribor ir infliacija – mėnesio vidurkis). Svarbu kintamų palūkanų ir perkainojamoms (reset) obligacijoms bei refinansavimo kaštams.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08</w:t>
        <w:tab/>
      </w:r>
      <w:r>
        <w:rPr>
          <w:b/>
          <w:color w:val="12355B"/>
          <w:sz w:val="28"/>
        </w:rPr>
        <w:t>Ką rašo spauda</w:t>
      </w:r>
    </w:p>
    <w:p>
      <w:pPr>
        <w:spacing w:before="40" w:after="60"/>
      </w:pPr>
      <w:r>
        <w:rPr>
          <w:b w:val="0"/>
          <w:color w:val="667085"/>
          <w:sz w:val="18"/>
        </w:rPr>
        <w:t>Automatinė naujienų paieška (Google News, LT), 2026-07-29 – 2026-10-27: 5 pranešimų.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0" w:type="dxa"/>
          <w:left w:w="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20"/>
        <w:gridCol w:w="1360"/>
        <w:gridCol w:w="7257"/>
      </w:tblGrid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B2430"/>
                <w:sz w:val="17"/>
              </w:rPr>
              <w:t>2026-10-08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KITA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29">
              <w:r>
                <w:rPr>
                  <w:color w:val="1B2430"/>
                  <w:sz w:val="18"/>
                </w:rPr>
                <w:t xml:space="preserve">Artea bankas sumažino Lietuvos augimo prognozę ir prognozuoja 5,3 proc. kainų augimą</w:t>
              </w:r>
            </w:hyperlink>
            <w:r>
              <w:rPr>
                <w:b w:val="0"/>
                <w:color w:val="667085"/>
                <w:sz w:val="15"/>
              </w:rPr>
              <w:t xml:space="preserve">   Delfi  ·  dar 4 panašūs pranešimai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09</w:t>
        <w:tab/>
      </w:r>
      <w:r>
        <w:rPr>
          <w:b/>
          <w:color w:val="12355B"/>
          <w:sz w:val="28"/>
        </w:rPr>
        <w:t>ESG report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Exclusionary screening (companies)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not involved in excluded sectors: controversial and nuclear weapons, tobacco, gambling and restricted sectors in fossil fuel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Bankas nevykdo veiklos išskirtuose sektoriuose.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Atsakingo investavimo reglamentas skelbiamas viešai</w:t>
            </w:r>
            <w:hyperlink r:id="rId30">
              <w:r>
                <w:rPr>
                  <w:color w:val="2A78D6"/>
                  <w:vertAlign w:val="superscript"/>
                  <w:sz w:val="15"/>
                </w:rPr>
                <w:t xml:space="preserve">26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does not have red flag/signal related to controversies based on UN Global Compact, OECD Guidelines for Multinational Enterprises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Ginčų pagal JT Pasaulinį susitarimą ar EBPO gaires nerasta.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2025 m. ir 2026 m. II ketv. bankui ir grupės įmonėms sankcijų netaikyta</w:t>
            </w:r>
            <w:hyperlink r:id="rId31">
              <w:r>
                <w:rPr>
                  <w:color w:val="2A78D6"/>
                  <w:vertAlign w:val="superscript"/>
                  <w:sz w:val="15"/>
                </w:rPr>
                <w:t xml:space="preserve">27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32">
              <w:r>
                <w:rPr>
                  <w:color w:val="2A78D6"/>
                  <w:vertAlign w:val="superscript"/>
                  <w:sz w:val="15"/>
                </w:rPr>
                <w:t xml:space="preserve">28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not in the list of sanctions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Nerasta EU, UN, US OFAC konsoliduotuose sankcijų sąrašuose (automatinė patikra 2026-10-27).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Rankinė patikra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OFAC sankcijų paieška</w:t>
            </w:r>
            <w:hyperlink r:id="rId33">
              <w:r>
                <w:rPr>
                  <w:color w:val="2A78D6"/>
                  <w:vertAlign w:val="superscript"/>
                  <w:sz w:val="15"/>
                </w:rPr>
                <w:t xml:space="preserve">29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ES sankcijų žemėlapis</w:t>
            </w:r>
            <w:hyperlink r:id="rId34">
              <w:r>
                <w:rPr>
                  <w:color w:val="2A78D6"/>
                  <w:vertAlign w:val="superscript"/>
                  <w:sz w:val="15"/>
                </w:rPr>
                <w:t xml:space="preserve">30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SEB eNameChecker (vidinė SEB sistema).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issues were not identified from adverse media checks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Neigiamų naujienų nerasta (paieška lietuvių ir anglų k., 2026-10-22).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Daugiausia naujienų – apie Tesonet akcijų įsigijimą ir vadovų pasikeitimus.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Naujienų suvestinė 2026-07-29 – 2026-10-27: 5 pranešimų, iš jų su neigiamu žodžiu antraštėje – 0 (plačiau – skiltyje „Ką rašo spauda“).</w:t>
            </w:r>
          </w:p>
        </w:tc>
      </w:tr>
    </w:tbl>
    <w:p>
      <w:pPr>
        <w:spacing w:before="120" w:after="40"/>
      </w:pPr>
      <w:r>
        <w:rPr>
          <w:i/>
          <w:color w:val="333333"/>
          <w:sz w:val="18"/>
        </w:rPr>
        <w:t>In case any red flags, risks, unclarities were identified then additional checks (sanctions screening and adverse media checks) on the company’s Ultimate Beneficial Owners and/or senior management shall be performed.</w:t>
      </w:r>
    </w:p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ESG integration and positive screening (positive answers imply higher allocation)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promoting environmental or social characteristics (activities, ESG policy, good ESG rating, etc)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Tvaraus finansavimo plėtra – viena 2026 m. prioritetų</w:t>
            </w:r>
            <w:hyperlink r:id="rId28">
              <w:r>
                <w:rPr>
                  <w:color w:val="2A78D6"/>
                  <w:vertAlign w:val="superscript"/>
                  <w:sz w:val="15"/>
                </w:rPr>
                <w:t xml:space="preserve">23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Planuojamas „Artea Retrofit Fund 3“ (625 mln. EUR) pastatų renovacijai</w:t>
            </w:r>
            <w:hyperlink r:id="rId25">
              <w:r>
                <w:rPr>
                  <w:color w:val="2A78D6"/>
                  <w:vertAlign w:val="superscript"/>
                  <w:sz w:val="15"/>
                </w:rPr>
                <w:t xml:space="preserve">20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activities of the company or it’s strategy is aligned with the taxonomy and/or Paris agreement targets (e.g. net zero commitment)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Įsipareigojimas kartu su ES siekti klimato neutralumo iki 2050 m. pagal Paryžiaus susitarimą</w:t>
            </w:r>
            <w:hyperlink r:id="rId30">
              <w:r>
                <w:rPr>
                  <w:color w:val="2A78D6"/>
                  <w:vertAlign w:val="superscript"/>
                  <w:sz w:val="15"/>
                </w:rPr>
                <w:t xml:space="preserve">26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does not have yellow flag/signal related to controversies based on UN Global Compact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Geltonų signalų nerasta.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fulfills the expectations from SEB thematic and sector policies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Taikoma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SEB neturi bankų sektoriaus politikos, todėl taikoma investicijų politika bei aplinkosaugos ir socialinė / žmogaus teisių politikos</w:t>
            </w:r>
            <w:hyperlink r:id="rId35">
              <w:r>
                <w:rPr>
                  <w:color w:val="2A78D6"/>
                  <w:vertAlign w:val="superscript"/>
                  <w:sz w:val="15"/>
                </w:rPr>
                <w:t xml:space="preserve">31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Atitinka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Pinigų plovimo prevencijos procedūros, pranešėjų kanalas, tiekėjų elgesio kodeksas, atsakingo investavimo reglamentas</w:t>
            </w:r>
            <w:hyperlink r:id="rId30">
              <w:r>
                <w:rPr>
                  <w:color w:val="2A78D6"/>
                  <w:vertAlign w:val="superscript"/>
                  <w:sz w:val="15"/>
                </w:rPr>
                <w:t xml:space="preserve">26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Sankcijų bankui netaikyta</w:t>
            </w:r>
            <w:hyperlink r:id="rId32">
              <w:r>
                <w:rPr>
                  <w:color w:val="2A78D6"/>
                  <w:vertAlign w:val="superscript"/>
                  <w:sz w:val="15"/>
                </w:rPr>
                <w:t xml:space="preserve">28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Galėtų būti geriau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Finansuojamos emisijos ir tarpiniai klimato tikslai viešai nerasti.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Engagement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9AA5B1"/>
                <w:sz w:val="24"/>
              </w:rPr>
              <w:t>☐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Is there a need for pro-active engagement with the company?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Nereikia: kapitalas ir paskolų kokybė geri, ESG praktika tvarkinga.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Indicators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indicators of the company support the targets of sustainability and PAI indicators followed by the Fund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Moterų dalis grupės darbuotojų – 77,8 %</w:t>
            </w:r>
            <w:hyperlink r:id="rId36">
              <w:r>
                <w:rPr>
                  <w:color w:val="2A78D6"/>
                  <w:vertAlign w:val="superscript"/>
                  <w:sz w:val="15"/>
                </w:rPr>
                <w:t xml:space="preserve">32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Klimato neutralumo tikslas 2050 m.</w:t>
            </w:r>
            <w:hyperlink r:id="rId30">
              <w:r>
                <w:rPr>
                  <w:color w:val="2A78D6"/>
                  <w:vertAlign w:val="superscript"/>
                  <w:sz w:val="15"/>
                </w:rPr>
                <w:t xml:space="preserve">26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Bloomberg ESG Data ir ESG Coverage indeksų narys</w:t>
            </w:r>
            <w:hyperlink r:id="rId23">
              <w:r>
                <w:rPr>
                  <w:color w:val="2A78D6"/>
                  <w:vertAlign w:val="superscript"/>
                  <w:sz w:val="15"/>
                </w:rPr>
                <w:t xml:space="preserve">15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spacing w:before="120" w:after="40"/>
      </w:pPr>
      <w:r>
        <w:rPr>
          <w:b/>
          <w:sz w:val="19"/>
        </w:rPr>
        <w:t xml:space="preserve">Conclusion: </w:t>
      </w:r>
      <w:r>
        <w:rPr>
          <w:b w:val="0"/>
          <w:sz w:val="19"/>
        </w:rPr>
        <w:t>Išimčių ir raudonų signalų nėra. Pagrindinės ESG procedūros yra; klimato duomenų skelbiama nedaug.</w:t>
      </w:r>
    </w:p>
    <w:p>
      <w:pPr>
        <w:spacing w:before="40" w:after="60"/>
      </w:pPr>
      <w:r>
        <w:rPr>
          <w:b w:val="0"/>
          <w:color w:val="667085"/>
          <w:sz w:val="16"/>
        </w:rPr>
        <w:t>Taikytos SEB politikos: Policy on Sustainability Considerations in Investments (SEB AB); Financial sector - no dedicated SEB sector policy (thematic policies applied); Environmental Policy on Climate, Nature and Water (thematic); Social and Human Rights Policy (thematic); Governance expectations in sector policies (anti-corruption, tax, reporting)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10</w:t>
        <w:tab/>
      </w:r>
      <w:r>
        <w:rPr>
          <w:b/>
          <w:color w:val="12355B"/>
          <w:sz w:val="28"/>
        </w:rPr>
        <w:t>Šaltiniai</w:t>
      </w:r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1.</w:t>
        <w:tab/>
      </w:r>
      <w:hyperlink r:id="rId12">
        <w:r>
          <w:rPr>
            <w:color w:val="2A78D6"/>
            <w:sz w:val="17"/>
          </w:rPr>
          <w:t xml:space="preserve">Artea bankas - Interim report 6M 2026 (reviewed), p. 7, 2026-08-26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2.</w:t>
        <w:tab/>
      </w:r>
      <w:hyperlink r:id="rId13">
        <w:r>
          <w:rPr>
            <w:color w:val="2A78D6"/>
            <w:sz w:val="17"/>
          </w:rPr>
          <w:t xml:space="preserve">Artea bankas - Interim report 6M 2026 (reviewed), p. 6, 2026-08-26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3.</w:t>
        <w:tab/>
      </w:r>
      <w:hyperlink r:id="rId13">
        <w:r>
          <w:rPr>
            <w:color w:val="2A78D6"/>
            <w:sz w:val="17"/>
          </w:rPr>
          <w:t xml:space="preserve">Artea bankas - Interim report 6M 2026 (reviewed), p. 6-7, 2026-08-26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4.</w:t>
        <w:tab/>
      </w:r>
      <w:hyperlink r:id="rId13">
        <w:r>
          <w:rPr>
            <w:color w:val="2A78D6"/>
            <w:sz w:val="17"/>
          </w:rPr>
          <w:t xml:space="preserve">Artea bankas - Interim report 6M 2026 (reviewed), p. 6, 24, 2026-08-26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5.</w:t>
        <w:tab/>
      </w:r>
      <w:hyperlink r:id="rId13">
        <w:r>
          <w:rPr>
            <w:color w:val="2A78D6"/>
            <w:sz w:val="17"/>
          </w:rPr>
          <w:t xml:space="preserve">Artea bankas - Interim report 6M 2026 (reviewed), p. 6-8, 2026-08-26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6.</w:t>
        <w:tab/>
      </w:r>
      <w:hyperlink r:id="rId14">
        <w:r>
          <w:rPr>
            <w:color w:val="2A78D6"/>
            <w:sz w:val="17"/>
          </w:rPr>
          <w:t xml:space="preserve">Artea bankas - FY2025 management report and unaudited financial statements, p. 17, 2026-02-25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7.</w:t>
        <w:tab/>
      </w:r>
      <w:hyperlink r:id="rId15">
        <w:r>
          <w:rPr>
            <w:color w:val="2A78D6"/>
            <w:sz w:val="17"/>
          </w:rPr>
          <w:t xml:space="preserve">Artea bankas - FY2025 management report and unaudited financial statements, p. 4, 2026-02-25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8.</w:t>
        <w:tab/>
      </w:r>
      <w:hyperlink r:id="rId16">
        <w:r>
          <w:rPr>
            <w:color w:val="2A78D6"/>
            <w:sz w:val="17"/>
          </w:rPr>
          <w:t xml:space="preserve">Artea bankas - Interim report 6M 2026 (reviewed), p. 18, 2026-08-26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9.</w:t>
        <w:tab/>
      </w:r>
      <w:hyperlink r:id="rId17">
        <w:r>
          <w:rPr>
            <w:color w:val="2A78D6"/>
            <w:sz w:val="17"/>
          </w:rPr>
          <w:t xml:space="preserve">Artea bankas - FY2025 management report and unaudited financial statements, p. 7, 2026-02-25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10.</w:t>
        <w:tab/>
      </w:r>
      <w:hyperlink r:id="rId18">
        <w:r>
          <w:rPr>
            <w:color w:val="2A78D6"/>
            <w:sz w:val="17"/>
          </w:rPr>
          <w:t xml:space="preserve">Artea bankas - Interim report 6M 2026 (reviewed), p. 23, 2026-08-26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11.</w:t>
        <w:tab/>
      </w:r>
      <w:hyperlink r:id="rId19">
        <w:r>
          <w:rPr>
            <w:color w:val="2A78D6"/>
            <w:sz w:val="17"/>
          </w:rPr>
          <w:t xml:space="preserve">Artea bankas - Interim report 6M 2026 (reviewed), p. 24, 2026-08-26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12.</w:t>
        <w:tab/>
      </w:r>
      <w:hyperlink r:id="rId20">
        <w:r>
          <w:rPr>
            <w:color w:val="2A78D6"/>
            <w:sz w:val="17"/>
          </w:rPr>
          <w:t xml:space="preserve">Artea bankas - Interim report 6M 2026 (reviewed), p. 16, 2026-08-26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13.</w:t>
        <w:tab/>
      </w:r>
      <w:hyperlink r:id="rId21">
        <w:r>
          <w:rPr>
            <w:color w:val="2A78D6"/>
            <w:sz w:val="17"/>
          </w:rPr>
          <w:t xml:space="preserve">Artea bankas - Interim report 6M 2026 (reviewed), p. 17, 2026-08-26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14.</w:t>
        <w:tab/>
      </w:r>
      <w:hyperlink r:id="rId22">
        <w:r>
          <w:rPr>
            <w:color w:val="2A78D6"/>
            <w:sz w:val="17"/>
          </w:rPr>
          <w:t xml:space="preserve">Artea bankas - FY2025 management report and unaudited financial statements, p. 5, 2026-02-25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15.</w:t>
        <w:tab/>
      </w:r>
      <w:hyperlink r:id="rId23">
        <w:r>
          <w:rPr>
            <w:color w:val="2A78D6"/>
            <w:sz w:val="17"/>
          </w:rPr>
          <w:t xml:space="preserve">Artea bankas - Interim report 6M 2026 (reviewed), p. 9, 2026-08-26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16.</w:t>
        <w:tab/>
      </w:r>
      <w:hyperlink r:id="rId13">
        <w:r>
          <w:rPr>
            <w:color w:val="2A78D6"/>
            <w:sz w:val="17"/>
          </w:rPr>
          <w:t xml:space="preserve">Artea bankas - Interim report 6M 2026 (reviewed), p. 6, 17, 2026-08-26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17.</w:t>
        <w:tab/>
      </w:r>
      <w:hyperlink r:id="rId15">
        <w:r>
          <w:rPr>
            <w:color w:val="2A78D6"/>
            <w:sz w:val="17"/>
          </w:rPr>
          <w:t xml:space="preserve">Artea bankas - FY2025 management report and unaudited financial statements, p. 4-5, 2026-02-25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18.</w:t>
        <w:tab/>
      </w:r>
      <w:hyperlink r:id="rId15">
        <w:r>
          <w:rPr>
            <w:color w:val="2A78D6"/>
            <w:sz w:val="17"/>
          </w:rPr>
          <w:t xml:space="preserve">Artea bankas - FY2025 management report and unaudited financial statements, p. 4, 7, 17, 2026-02-25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19.</w:t>
        <w:tab/>
      </w:r>
      <w:hyperlink r:id="rId23">
        <w:r>
          <w:rPr>
            <w:color w:val="2A78D6"/>
            <w:sz w:val="17"/>
          </w:rPr>
          <w:t xml:space="preserve">Artea bankas - Interim report 6M 2026 (reviewed), p. 9, 29, 2026-08-26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20.</w:t>
        <w:tab/>
      </w:r>
      <w:hyperlink r:id="rId25">
        <w:r>
          <w:rPr>
            <w:color w:val="2A78D6"/>
            <w:sz w:val="17"/>
          </w:rPr>
          <w:t xml:space="preserve">Artea bankas - FY2025 management report and unaudited financial statements, p. 6, 2026-02-25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21.</w:t>
        <w:tab/>
      </w:r>
      <w:hyperlink r:id="rId26">
        <w:r>
          <w:rPr>
            <w:color w:val="2A78D6"/>
            <w:sz w:val="17"/>
          </w:rPr>
          <w:t xml:space="preserve">Artea bankas - Annual report 2025 (LT), p. 6,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22.</w:t>
        <w:tab/>
      </w:r>
      <w:hyperlink r:id="rId27">
        <w:r>
          <w:rPr>
            <w:color w:val="2A78D6"/>
            <w:sz w:val="17"/>
          </w:rPr>
          <w:t xml:space="preserve">Artea - Issued securities (bond list),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23.</w:t>
        <w:tab/>
      </w:r>
      <w:hyperlink r:id="rId28">
        <w:r>
          <w:rPr>
            <w:color w:val="2A78D6"/>
            <w:sz w:val="17"/>
          </w:rPr>
          <w:t xml:space="preserve">Artea bankas - Annual report 2025 (LT), p. 8,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24.</w:t>
        <w:tab/>
      </w:r>
      <w:hyperlink r:id="rId13">
        <w:r>
          <w:rPr>
            <w:color w:val="2A78D6"/>
            <w:sz w:val="17"/>
          </w:rPr>
          <w:t xml:space="preserve">Artea bankas - Interim report 6M 2026 (reviewed), p. 6-7, 22, 2026-08-26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25.</w:t>
        <w:tab/>
      </w:r>
      <w:hyperlink r:id="rId12">
        <w:r>
          <w:rPr>
            <w:color w:val="2A78D6"/>
            <w:sz w:val="17"/>
          </w:rPr>
          <w:t xml:space="preserve">Artea bankas - Interim report 6M 2026 (reviewed), p. 7-8, 2026-08-26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26.</w:t>
        <w:tab/>
      </w:r>
      <w:hyperlink r:id="rId30">
        <w:r>
          <w:rPr>
            <w:color w:val="2A78D6"/>
            <w:sz w:val="17"/>
          </w:rPr>
          <w:t xml:space="preserve">Artea - Sustainability / ESG risk information,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27.</w:t>
        <w:tab/>
      </w:r>
      <w:hyperlink r:id="rId31">
        <w:r>
          <w:rPr>
            <w:color w:val="2A78D6"/>
            <w:sz w:val="17"/>
          </w:rPr>
          <w:t xml:space="preserve">Artea bankas - FY2025 management report and unaudited financial statements, p. 13, 2026-02-25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28.</w:t>
        <w:tab/>
      </w:r>
      <w:hyperlink r:id="rId32">
        <w:r>
          <w:rPr>
            <w:color w:val="2A78D6"/>
            <w:sz w:val="17"/>
          </w:rPr>
          <w:t xml:space="preserve">Artea bankas - Interim report 6M 2026 (reviewed), p. 14, 2026-08-26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29.</w:t>
        <w:tab/>
      </w:r>
      <w:hyperlink r:id="rId33">
        <w:r>
          <w:rPr>
            <w:color w:val="2A78D6"/>
            <w:sz w:val="17"/>
          </w:rPr>
          <w:t xml:space="preserve">OFAC Sanctions List Search (US Treasury)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30.</w:t>
        <w:tab/>
      </w:r>
      <w:hyperlink r:id="rId34">
        <w:r>
          <w:rPr>
            <w:color w:val="2A78D6"/>
            <w:sz w:val="17"/>
          </w:rPr>
          <w:t xml:space="preserve">EU Sanctions Map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31.</w:t>
        <w:tab/>
      </w:r>
      <w:hyperlink r:id="rId35">
        <w:r>
          <w:rPr>
            <w:color w:val="2A78D6"/>
            <w:sz w:val="17"/>
          </w:rPr>
          <w:t xml:space="preserve">SEB Policy on Sustainability Considerations in Investments (2026-04-15), p. 5, 7, 2026-04-15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32.</w:t>
        <w:tab/>
      </w:r>
      <w:hyperlink r:id="rId36">
        <w:r>
          <w:rPr>
            <w:color w:val="2A78D6"/>
            <w:sz w:val="17"/>
          </w:rPr>
          <w:t xml:space="preserve">Artea bankas - Interim report 6M 2026 (reviewed), p. 10, 2026-08-26</w:t>
        </w:r>
      </w:hyperlink>
    </w:p>
    <w:p>
      <w:pPr>
        <w:spacing w:before="40" w:after="60"/>
      </w:pPr>
      <w:r>
        <w:rPr>
          <w:b w:val="0"/>
          <w:color w:val="667085"/>
          <w:sz w:val="16"/>
        </w:rPr>
        <w:t>Ataskaita parengta iš viešų šaltinių. Skaičiai pateikiami taip, kaip juos skelbia emitentas; maži numeriai prie teksto veda į šaltinių sąrašą.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020" w:right="1134" w:bottom="1020" w:left="1134" w:header="510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D5DCE4" w:space="4"/>
      </w:pBdr>
      <w:tabs>
        <w:tab w:pos="9638" w:val="right"/>
      </w:tabs>
    </w:pPr>
    <w:r>
      <w:rPr>
        <w:b w:val="0"/>
        <w:color w:val="667085"/>
        <w:sz w:val="16"/>
      </w:rPr>
      <w:t>Artea bankas · 6M2026 · 2026-10-22</w:t>
      <w:tab/>
    </w:r>
    <w:r>
      <w:rPr>
        <w:b/>
        <w:color w:val="12355B"/>
        <w:sz w:val="16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D5DCE4" w:space="4"/>
      </w:pBdr>
      <w:tabs>
        <w:tab w:pos="9638" w:val="right"/>
      </w:tabs>
    </w:pPr>
    <w:r>
      <w:rPr>
        <w:b w:val="0"/>
        <w:color w:val="667085"/>
        <w:sz w:val="16"/>
      </w:rPr>
      <w:t>Artea bankas · 6M2026 · 2026-10-22</w:t>
      <w:tab/>
    </w:r>
    <w:r>
      <w:rPr>
        <w:b/>
        <w:color w:val="12355B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4" w:color="D5DCE4" w:space="4"/>
      </w:pBdr>
      <w:tabs>
        <w:tab w:pos="9638" w:val="right"/>
      </w:tabs>
    </w:pPr>
    <w:r>
      <w:rPr>
        <w:b/>
        <w:color w:val="12355B"/>
        <w:sz w:val="16"/>
      </w:rPr>
      <w:t>Artea bankas</w:t>
    </w:r>
    <w:r>
      <w:rPr>
        <w:b w:val="0"/>
        <w:color w:val="667085"/>
        <w:sz w:val="16"/>
      </w:rPr>
      <w:tab/>
      <w:t>Emitento apžvalga · 6M2026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color w:val="1B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nasdaqbaltic.com/market/upload/reports/roe1/2026_q2_en_con_esef.pdf#page=7" TargetMode="External"/><Relationship Id="rId13" Type="http://schemas.openxmlformats.org/officeDocument/2006/relationships/hyperlink" Target="https://nasdaqbaltic.com/market/upload/reports/roe1/2026_q2_en_con_esef.pdf#page=6" TargetMode="External"/><Relationship Id="rId14" Type="http://schemas.openxmlformats.org/officeDocument/2006/relationships/hyperlink" Target="https://nasdaqbaltic.com/market/upload/reports/roe1/2025_q4_en_con.pdf#page=17" TargetMode="External"/><Relationship Id="rId15" Type="http://schemas.openxmlformats.org/officeDocument/2006/relationships/hyperlink" Target="https://nasdaqbaltic.com/market/upload/reports/roe1/2025_q4_en_con.pdf#page=4" TargetMode="External"/><Relationship Id="rId16" Type="http://schemas.openxmlformats.org/officeDocument/2006/relationships/hyperlink" Target="https://nasdaqbaltic.com/market/upload/reports/roe1/2026_q2_en_con_esef.pdf#page=18" TargetMode="External"/><Relationship Id="rId17" Type="http://schemas.openxmlformats.org/officeDocument/2006/relationships/hyperlink" Target="https://nasdaqbaltic.com/market/upload/reports/roe1/2025_q4_en_con.pdf#page=7" TargetMode="External"/><Relationship Id="rId18" Type="http://schemas.openxmlformats.org/officeDocument/2006/relationships/hyperlink" Target="https://nasdaqbaltic.com/market/upload/reports/roe1/2026_q2_en_con_esef.pdf#page=23" TargetMode="External"/><Relationship Id="rId19" Type="http://schemas.openxmlformats.org/officeDocument/2006/relationships/hyperlink" Target="https://nasdaqbaltic.com/market/upload/reports/roe1/2026_q2_en_con_esef.pdf#page=24" TargetMode="External"/><Relationship Id="rId20" Type="http://schemas.openxmlformats.org/officeDocument/2006/relationships/hyperlink" Target="https://nasdaqbaltic.com/market/upload/reports/roe1/2026_q2_en_con_esef.pdf#page=16" TargetMode="External"/><Relationship Id="rId21" Type="http://schemas.openxmlformats.org/officeDocument/2006/relationships/hyperlink" Target="https://nasdaqbaltic.com/market/upload/reports/roe1/2026_q2_en_con_esef.pdf#page=17" TargetMode="External"/><Relationship Id="rId22" Type="http://schemas.openxmlformats.org/officeDocument/2006/relationships/hyperlink" Target="https://nasdaqbaltic.com/market/upload/reports/roe1/2025_q4_en_con.pdf#page=5" TargetMode="External"/><Relationship Id="rId23" Type="http://schemas.openxmlformats.org/officeDocument/2006/relationships/hyperlink" Target="https://nasdaqbaltic.com/market/upload/reports/roe1/2026_q2_en_con_esef.pdf#page=9" TargetMode="External"/><Relationship Id="rId24" Type="http://schemas.openxmlformats.org/officeDocument/2006/relationships/image" Target="media/image1.png"/><Relationship Id="rId25" Type="http://schemas.openxmlformats.org/officeDocument/2006/relationships/hyperlink" Target="https://nasdaqbaltic.com/market/upload/reports/roe1/2025_q4_en_con.pdf#page=6" TargetMode="External"/><Relationship Id="rId26" Type="http://schemas.openxmlformats.org/officeDocument/2006/relationships/hyperlink" Target="https://cdn.artea.lt/mainweb/uploads/media/69cbc6f608b68/annual-report-2025-lt-final.pdf#page=6" TargetMode="External"/><Relationship Id="rId27" Type="http://schemas.openxmlformats.org/officeDocument/2006/relationships/hyperlink" Target="https://www.artea.lt/lt/banko-investuotojams/vertybiniai-popieriai" TargetMode="External"/><Relationship Id="rId28" Type="http://schemas.openxmlformats.org/officeDocument/2006/relationships/hyperlink" Target="https://cdn.artea.lt/mainweb/uploads/media/69cbc6f608b68/annual-report-2025-lt-final.pdf#page=8" TargetMode="External"/><Relationship Id="rId29" Type="http://schemas.openxmlformats.org/officeDocument/2006/relationships/hyperlink" Target="https://news.google.com/rss/articles/CBMi1gFBVV95cUxPMVRmRnRCVGctSF9oZ0xnM0dIWVVPa0FxZnQzT2NOZUJGbVdhX1ZwMzJzSHI1TFctaDNfUTUwdTlTaEMxcWdhSGxKTjRkQms1a0tpTFhROFptSFBaMzZYblVMX1JnV0FwQmxqLVE0RnZ1Mk9tbDBMVXYtTjZyQk5pQ2FCXzRsUl8zdXFCUFNMM0UtSF9ielUycDZtcEpPTG52OEZhei11RVkydDdjQ0czN0F1MmJvU1pkcmFpcmgwYjducjB0ZlExUFpGdEUwVWY5V0E1NTJR?oc=5" TargetMode="External"/><Relationship Id="rId30" Type="http://schemas.openxmlformats.org/officeDocument/2006/relationships/hyperlink" Target="https://www.artea.lt/lt/apie/tvarumas/banko-tvarumo-informacija" TargetMode="External"/><Relationship Id="rId31" Type="http://schemas.openxmlformats.org/officeDocument/2006/relationships/hyperlink" Target="https://nasdaqbaltic.com/market/upload/reports/roe1/2025_q4_en_con.pdf#page=13" TargetMode="External"/><Relationship Id="rId32" Type="http://schemas.openxmlformats.org/officeDocument/2006/relationships/hyperlink" Target="https://nasdaqbaltic.com/market/upload/reports/roe1/2026_q2_en_con_esef.pdf#page=14" TargetMode="External"/><Relationship Id="rId33" Type="http://schemas.openxmlformats.org/officeDocument/2006/relationships/hyperlink" Target="https://sanctionssearch.ofac.treas.gov/" TargetMode="External"/><Relationship Id="rId34" Type="http://schemas.openxmlformats.org/officeDocument/2006/relationships/hyperlink" Target="https://www.sanctionsmap.eu/#/main" TargetMode="External"/><Relationship Id="rId35" Type="http://schemas.openxmlformats.org/officeDocument/2006/relationships/hyperlink" Target="https://sebgroup.com/sustainability/our-sustainability-strategy/policies" TargetMode="External"/><Relationship Id="rId36" Type="http://schemas.openxmlformats.org/officeDocument/2006/relationships/hyperlink" Target="https://nasdaqbaltic.com/market/upload/reports/roe1/2026_q2_en_con_esef.pdf#page=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