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0,5 %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AST – 100 % valstybinis Latvijos elektros perdavimo operatorius su A- reitingu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2027-01-20 išperkamai 100 mln. EUR obligacijai turima 94,7 mln. EUR pinigų ir nepanaudota SEB overdrafto linija iki 90 mln. EUR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0,93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(mūsų skaičiavimas); nuosavo kapitalo dalis 40 %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augo</w:t>
      </w:r>
      <w:r>
        <w:rPr>
          <w:b w:val="0"/>
        </w:rPr>
        <w:t xml:space="preserve"> iki 22,5 mln. EUR (prieš metus 19,1 mln.) dėl didesnių elektros ir dujų perdavimo pajamų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elektros perdavimo pajamos +8 % dėl balansavimo ir perkrovų valdymo pajamų (+41,8 mln. EUR)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nauji perdavimo tarifai nuo 2026-01-01; sukauptas perkrovų pajamas iki 2028 m. pabaigos galima naudoti iki 44,4 mln. EUR, 2026 m. I pusm. pripažinta 4,0 mln. EUR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Dujų saugyklos pajamos –36 % dėl mažesnių užsakymų ir tarifo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birželio vidutinė elektros kaina Latvijoje 92,23 EUR/MWh (+12,3 % per mėn.) dėl mažesnės vėjo gamybos ir karščio Europoje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sinchronizacija ir atsinaujinančios energetikos plėtra gerokai didina balansavimo rezervų poreikį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