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24" w:color="12355B" w:space="0"/>
        </w:pBdr>
        <w:spacing w:before="0" w:after="200" w:line="120" w:lineRule="auto"/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7030"/>
        <w:gridCol w:w="2608"/>
      </w:tblGrid>
      <w:tr>
        <w:tc>
          <w:tcPr>
            <w:tcW w:type="dxa" w:w="7030"/>
          </w:tcPr>
          <w:p>
            <w:pPr>
              <w:spacing w:before="0" w:after="0"/>
            </w:pPr>
            <w:r>
              <w:rPr>
                <w:b/>
                <w:caps/>
                <w:color w:val="2A78D6"/>
                <w:sz w:val="16"/>
              </w:rPr>
              <w:t>Issuer review · 9M2026</w:t>
            </w:r>
          </w:p>
          <w:p>
            <w:pPr>
              <w:spacing w:before="40" w:after="0"/>
            </w:pPr>
            <w:r>
              <w:rPr>
                <w:b/>
                <w:color w:val="12355B"/>
                <w:sz w:val="52"/>
              </w:rPr>
              <w:t>Bigbank</w:t>
            </w:r>
          </w:p>
          <w:p>
            <w:pPr>
              <w:spacing w:before="40" w:after="0"/>
            </w:pPr>
            <w:r>
              <w:rPr>
                <w:b w:val="0"/>
                <w:color w:val="667085"/>
                <w:sz w:val="18"/>
              </w:rPr>
              <w:t>Estonia · Bank (consumer, mortgage and business loans; deposits in 9 countries)</w:t>
            </w:r>
          </w:p>
        </w:tc>
        <w:tc>
          <w:tcPr>
            <w:tcW w:type="dxa" w:w="2608"/>
          </w:tcPr>
          <w:p>
            <w:pPr>
              <w:spacing w:before="440" w:after="0"/>
              <w:jc w:val="right"/>
            </w:pPr>
            <w:r>
              <w:rPr>
                <w:b/>
                <w:color w:val="1B7F3B"/>
                <w:sz w:val="18"/>
                <w:shd w:val="clear" w:color="auto" w:fill="E3F3E8"/>
              </w:rPr>
              <w:t xml:space="preserve">  ●  OK  </w:t>
            </w:r>
          </w:p>
        </w:tc>
      </w:tr>
    </w:tbl>
    <w:p>
      <w:pPr>
        <w:pBdr>
          <w:top w:val="single" w:sz="4" w:color="D5DCE4" w:space="0"/>
        </w:pBdr>
        <w:spacing w:before="120" w:after="200" w:line="120" w:lineRule="auto"/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60" w:type="dxa"/>
          <w:left w:w="220" w:type="dxa"/>
          <w:bottom w:w="160" w:type="dxa"/>
          <w:right w:w="220" w:type="dxa"/>
        </w:tblCellMar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12" w:color="12355B" w:space="0"/>
              <w:left w:val="nil"/>
              <w:bottom w:val="nil"/>
              <w:right w:val="nil"/>
            </w:tcBorders>
            <w:shd w:val="clear" w:color="auto" w:fill="F4F6F9"/>
          </w:tcPr>
          <w:p>
            <w:pPr>
              <w:spacing w:before="0" w:after="40"/>
            </w:pPr>
            <w:r>
              <w:rPr>
                <w:b/>
                <w:color w:val="12355B"/>
                <w:sz w:val="18"/>
              </w:rPr>
              <w:t>Key facts</w:t>
            </w:r>
          </w:p>
          <w:p>
            <w:pPr>
              <w:spacing w:before="80" w:after="0"/>
            </w:pPr>
            <w:r>
              <w:rPr>
                <w:b/>
                <w:caps/>
                <w:color w:val="667085"/>
                <w:sz w:val="14"/>
              </w:rPr>
              <w:t>Issuer rating</w:t>
            </w:r>
          </w:p>
          <w:p>
            <w:pPr>
              <w:spacing w:before="0" w:after="0"/>
            </w:pPr>
            <w:r>
              <w:rPr>
                <w:b w:val="0"/>
                <w:sz w:val="18"/>
              </w:rPr>
              <w:t>Moody's Ba1 long-term deposit rating, outlook negative; BCA ba2</w:t>
            </w:r>
            <w:hyperlink r:id="rId12">
              <w:r>
                <w:rPr>
                  <w:color w:val="2A78D6"/>
                  <w:vertAlign w:val="superscript"/>
                  <w:sz w:val="15"/>
                </w:rPr>
                <w:t xml:space="preserve">1</w:t>
              </w:r>
            </w:hyperlink>
          </w:p>
          <w:p>
            <w:pPr>
              <w:spacing w:before="80" w:after="0"/>
            </w:pPr>
            <w:r>
              <w:rPr>
                <w:b/>
                <w:caps/>
                <w:color w:val="667085"/>
                <w:sz w:val="14"/>
              </w:rPr>
              <w:t>Analysis date</w:t>
            </w:r>
          </w:p>
          <w:p>
            <w:pPr>
              <w:spacing w:before="0" w:after="0"/>
            </w:pPr>
            <w:r>
              <w:rPr>
                <w:b w:val="0"/>
                <w:sz w:val="18"/>
              </w:rPr>
              <w:t>2026-10-22</w:t>
            </w:r>
          </w:p>
          <w:p>
            <w:pPr>
              <w:spacing w:before="80" w:after="0"/>
            </w:pPr>
            <w:r>
              <w:rPr>
                <w:b/>
                <w:caps/>
                <w:color w:val="667085"/>
                <w:sz w:val="14"/>
              </w:rPr>
              <w:t>Next report</w:t>
            </w:r>
          </w:p>
          <w:p>
            <w:pPr>
              <w:spacing w:before="0" w:after="0"/>
            </w:pPr>
            <w:r>
              <w:rPr>
                <w:b w:val="0"/>
                <w:sz w:val="18"/>
              </w:rPr>
              <w:t>Q4 2026 and annual results - expected February 2027 (monthly results 2026-11-12)</w:t>
            </w:r>
            <w:hyperlink r:id="rId13">
              <w:r>
                <w:rPr>
                  <w:color w:val="2A78D6"/>
                  <w:vertAlign w:val="superscript"/>
                  <w:sz w:val="15"/>
                </w:rPr>
                <w:t xml:space="preserve">2</w:t>
              </w:r>
            </w:hyperlink>
          </w:p>
          <w:p>
            <w:pPr>
              <w:spacing w:before="80" w:after="0"/>
            </w:pPr>
            <w:r>
              <w:rPr>
                <w:b/>
                <w:caps/>
                <w:color w:val="667085"/>
                <w:sz w:val="14"/>
              </w:rPr>
              <w:t>Country</w:t>
            </w:r>
          </w:p>
          <w:p>
            <w:pPr>
              <w:spacing w:before="0" w:after="0"/>
            </w:pPr>
            <w:r>
              <w:rPr>
                <w:b w:val="0"/>
                <w:sz w:val="18"/>
              </w:rPr>
              <w:t>Estonia</w:t>
            </w:r>
          </w:p>
        </w:tc>
        <w:tc>
          <w:tcPr>
            <w:tcW w:type="dxa" w:w="4819"/>
            <w:tcBorders>
              <w:top w:val="single" w:sz="12" w:color="12355B" w:space="0"/>
              <w:left w:val="nil"/>
              <w:bottom w:val="nil"/>
              <w:right w:val="nil"/>
            </w:tcBorders>
            <w:shd w:val="clear" w:color="auto" w:fill="F4F6F9"/>
          </w:tcPr>
          <w:p>
            <w:pPr>
              <w:spacing w:before="0" w:after="40"/>
            </w:pPr>
            <w:r>
              <w:rPr>
                <w:b/>
                <w:color w:val="12355B"/>
                <w:sz w:val="18"/>
              </w:rPr>
              <w:t>Securities held</w:t>
            </w:r>
          </w:p>
          <w:p>
            <w:pPr>
              <w:spacing w:before="80" w:after="0"/>
            </w:pPr>
            <w:r>
              <w:rPr>
                <w:b/>
                <w:color w:val="1B2430"/>
                <w:sz w:val="17"/>
              </w:rPr>
              <w:t>Bigbank 12% AT1 temporary write-down notes (August 2023)</w:t>
            </w:r>
          </w:p>
          <w:p>
            <w:pPr>
              <w:spacing w:before="0" w:after="0"/>
            </w:pPr>
            <w:r>
              <w:rPr>
                <w:b w:val="0"/>
                <w:color w:val="667085"/>
                <w:sz w:val="15"/>
              </w:rPr>
              <w:t>EE3300003581  ·  12% · perpetual</w:t>
            </w:r>
          </w:p>
          <w:p>
            <w:pPr>
              <w:spacing w:before="0" w:after="0"/>
            </w:pPr>
            <w:r>
              <w:rPr>
                <w:b w:val="0"/>
                <w:color w:val="12355B"/>
                <w:sz w:val="15"/>
              </w:rPr>
              <w:t>no separate rating found</w:t>
            </w:r>
          </w:p>
        </w:tc>
      </w:tr>
    </w:tbl>
    <w:p>
      <w:pPr>
        <w:spacing w:before="0" w:after="120"/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80" w:type="dxa"/>
          <w:left w:w="260" w:type="dxa"/>
          <w:bottom w:w="200" w:type="dxa"/>
          <w:right w:w="260" w:type="dxa"/>
        </w:tblCellMar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tcBorders>
              <w:top w:val="nil"/>
              <w:left w:val="single" w:sz="24" w:color="1B7F3B" w:space="0"/>
              <w:bottom w:val="nil"/>
              <w:right w:val="nil"/>
            </w:tcBorders>
            <w:shd w:val="clear" w:color="auto" w:fill="E3F3E8"/>
          </w:tcPr>
          <w:p>
            <w:pPr>
              <w:spacing w:before="0" w:after="0" w:line="276" w:lineRule="auto"/>
            </w:pPr>
            <w:r>
              <w:rPr>
                <w:b/>
                <w:color w:val="1B2430"/>
                <w:sz w:val="21"/>
              </w:rPr>
              <w:t>Position OK.</w:t>
            </w:r>
            <w:r>
              <w:rPr>
                <w:b w:val="0"/>
                <w:color w:val="1B2430"/>
                <w:sz w:val="21"/>
              </w:rPr>
              <w:t xml:space="preserve"> 9M profit EUR 30.1m (30.2m), loans +27% year on year</w:t>
            </w:r>
            <w:hyperlink r:id="rId14">
              <w:r>
                <w:rPr>
                  <w:color w:val="2A78D6"/>
                  <w:vertAlign w:val="superscript"/>
                  <w:sz w:val="17"/>
                </w:rPr>
                <w:t xml:space="preserve">3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5">
              <w:r>
                <w:rPr>
                  <w:color w:val="2A78D6"/>
                  <w:vertAlign w:val="superscript"/>
                  <w:sz w:val="17"/>
                </w:rPr>
                <w:t xml:space="preserve">4</w:t>
              </w:r>
            </w:hyperlink>
            <w:r>
              <w:rPr>
                <w:b w:val="0"/>
                <w:color w:val="1B2430"/>
                <w:sz w:val="21"/>
              </w:rPr>
              <w:t>. CET1 13.2% – well above the 7% write-down trigger of the AT1 held</w:t>
            </w:r>
            <w:hyperlink r:id="rId16">
              <w:r>
                <w:rPr>
                  <w:color w:val="2A78D6"/>
                  <w:vertAlign w:val="superscript"/>
                  <w:sz w:val="17"/>
                </w:rPr>
                <w:t xml:space="preserve">5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7">
              <w:r>
                <w:rPr>
                  <w:color w:val="2A78D6"/>
                  <w:vertAlign w:val="superscript"/>
                  <w:sz w:val="17"/>
                </w:rPr>
                <w:t xml:space="preserve">6</w:t>
              </w:r>
            </w:hyperlink>
            <w:r>
              <w:rPr>
                <w:b w:val="0"/>
                <w:color w:val="1B2430"/>
                <w:sz w:val="21"/>
              </w:rPr>
              <w:t>. To watch: Moody's outlook is negative</w:t>
            </w:r>
            <w:hyperlink r:id="rId12">
              <w:r>
                <w:rPr>
                  <w:color w:val="2A78D6"/>
                  <w:vertAlign w:val="superscript"/>
                  <w:sz w:val="17"/>
                </w:rPr>
                <w:t xml:space="preserve">1</w:t>
              </w:r>
            </w:hyperlink>
            <w:r>
              <w:rPr>
                <w:b w:val="0"/>
                <w:color w:val="1B2430"/>
                <w:sz w:val="21"/>
              </w:rPr>
              <w:t>.</w:t>
            </w:r>
          </w:p>
        </w:tc>
      </w:tr>
    </w:tbl>
    <w:p>
      <w:pPr>
        <w:spacing w:before="0" w:after="120"/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50" w:type="dxa"/>
          <w:left w:w="170" w:type="dxa"/>
          <w:bottom w:w="150" w:type="dxa"/>
          <w:right w:w="100" w:type="dxa"/>
        </w:tblCellMar>
        <w:tblLook w:firstColumn="1" w:firstRow="1" w:lastColumn="0" w:lastRow="0" w:noHBand="0" w:noVBand="1" w:val="04A0"/>
      </w:tblPr>
      <w:tblGrid>
        <w:gridCol w:w="2260"/>
        <w:gridCol w:w="198"/>
        <w:gridCol w:w="2260"/>
        <w:gridCol w:w="198"/>
        <w:gridCol w:w="2260"/>
        <w:gridCol w:w="198"/>
        <w:gridCol w:w="2260"/>
      </w:tblGrid>
      <w:tr>
        <w:tc>
          <w:tcPr>
            <w:tcW w:type="dxa" w:w="2261"/>
            <w:tcBorders>
              <w:top w:val="single" w:sz="18" w:color="2A78D6" w:space="0"/>
              <w:left w:val="single" w:sz="4" w:color="D5DCE4" w:space="0"/>
              <w:bottom w:val="single" w:sz="4" w:color="D5DCE4" w:space="0"/>
              <w:right w:val="single" w:sz="4" w:color="D5DCE4" w:space="0"/>
            </w:tcBorders>
          </w:tcPr>
          <w:p>
            <w:pPr>
              <w:spacing w:before="0" w:after="60"/>
            </w:pPr>
            <w:r>
              <w:rPr>
                <w:b/>
                <w:caps/>
                <w:color w:val="667085"/>
                <w:sz w:val="14"/>
              </w:rPr>
              <w:t>Net profit</w:t>
            </w:r>
            <w:r>
              <w:rPr>
                <w:b w:val="0"/>
                <w:color w:val="667085"/>
                <w:sz w:val="14"/>
              </w:rPr>
              <w:t xml:space="preserve">  ·  9M2026</w:t>
            </w:r>
          </w:p>
          <w:p>
            <w:pPr>
              <w:spacing w:before="0" w:after="20"/>
            </w:pPr>
            <w:r>
              <w:rPr>
                <w:b/>
                <w:color w:val="12355B"/>
                <w:sz w:val="34"/>
              </w:rPr>
              <w:t>30.1</w:t>
            </w:r>
            <w:r>
              <w:rPr>
                <w:b w:val="0"/>
                <w:color w:val="667085"/>
                <w:sz w:val="18"/>
              </w:rPr>
              <w:t xml:space="preserve"> EUR m</w:t>
            </w:r>
          </w:p>
          <w:p>
            <w:pPr>
              <w:spacing w:before="0" w:after="0"/>
            </w:pPr>
            <w:r>
              <w:rPr>
                <w:b w:val="0"/>
                <w:color w:val="667085"/>
                <w:sz w:val="15"/>
              </w:rPr>
              <w:t>▼ 0.3 % vs 9M2025</w:t>
            </w:r>
          </w:p>
        </w:tc>
        <w:tc>
          <w:tcPr>
            <w:tcW w:type="dxa" w:w="198"/>
          </w:tcPr>
          <w:p/>
        </w:tc>
        <w:tc>
          <w:tcPr>
            <w:tcW w:type="dxa" w:w="2261"/>
            <w:tcBorders>
              <w:top w:val="single" w:sz="18" w:color="2A78D6" w:space="0"/>
              <w:left w:val="single" w:sz="4" w:color="D5DCE4" w:space="0"/>
              <w:bottom w:val="single" w:sz="4" w:color="D5DCE4" w:space="0"/>
              <w:right w:val="single" w:sz="4" w:color="D5DCE4" w:space="0"/>
            </w:tcBorders>
          </w:tcPr>
          <w:p>
            <w:pPr>
              <w:spacing w:before="0" w:after="60"/>
            </w:pPr>
            <w:r>
              <w:rPr>
                <w:b/>
                <w:caps/>
                <w:color w:val="667085"/>
                <w:sz w:val="14"/>
              </w:rPr>
              <w:t>ROE</w:t>
            </w:r>
            <w:r>
              <w:rPr>
                <w:b w:val="0"/>
                <w:color w:val="667085"/>
                <w:sz w:val="14"/>
              </w:rPr>
              <w:t xml:space="preserve">  ·  9M2026</w:t>
            </w:r>
          </w:p>
          <w:p>
            <w:pPr>
              <w:spacing w:before="0" w:after="20"/>
            </w:pPr>
            <w:r>
              <w:rPr>
                <w:b/>
                <w:color w:val="12355B"/>
                <w:sz w:val="34"/>
              </w:rPr>
              <w:t>12.9</w:t>
            </w:r>
            <w:r>
              <w:rPr>
                <w:b w:val="0"/>
                <w:color w:val="667085"/>
                <w:sz w:val="18"/>
              </w:rPr>
              <w:t xml:space="preserve"> %</w:t>
            </w:r>
          </w:p>
          <w:p>
            <w:pPr>
              <w:spacing w:before="0" w:after="0"/>
            </w:pPr>
            <w:r>
              <w:rPr>
                <w:b w:val="0"/>
                <w:color w:val="667085"/>
                <w:sz w:val="15"/>
              </w:rPr>
              <w:t>▼ 1.4 p. p. vs 9M2025</w:t>
            </w:r>
          </w:p>
        </w:tc>
        <w:tc>
          <w:tcPr>
            <w:tcW w:type="dxa" w:w="198"/>
          </w:tcPr>
          <w:p/>
        </w:tc>
        <w:tc>
          <w:tcPr>
            <w:tcW w:type="dxa" w:w="2261"/>
            <w:tcBorders>
              <w:top w:val="single" w:sz="18" w:color="2A78D6" w:space="0"/>
              <w:left w:val="single" w:sz="4" w:color="D5DCE4" w:space="0"/>
              <w:bottom w:val="single" w:sz="4" w:color="D5DCE4" w:space="0"/>
              <w:right w:val="single" w:sz="4" w:color="D5DCE4" w:space="0"/>
            </w:tcBorders>
          </w:tcPr>
          <w:p>
            <w:pPr>
              <w:spacing w:before="0" w:after="60"/>
            </w:pPr>
            <w:r>
              <w:rPr>
                <w:b/>
                <w:caps/>
                <w:color w:val="667085"/>
                <w:sz w:val="14"/>
              </w:rPr>
              <w:t>CET1 ratio</w:t>
            </w:r>
            <w:r>
              <w:rPr>
                <w:b w:val="0"/>
                <w:color w:val="667085"/>
                <w:sz w:val="14"/>
              </w:rPr>
              <w:t xml:space="preserve">  ·  9M2026</w:t>
            </w:r>
          </w:p>
          <w:p>
            <w:pPr>
              <w:spacing w:before="0" w:after="20"/>
            </w:pPr>
            <w:r>
              <w:rPr>
                <w:b/>
                <w:color w:val="12355B"/>
                <w:sz w:val="34"/>
              </w:rPr>
              <w:t>13.2</w:t>
            </w:r>
            <w:r>
              <w:rPr>
                <w:b w:val="0"/>
                <w:color w:val="667085"/>
                <w:sz w:val="18"/>
              </w:rPr>
              <w:t xml:space="preserve"> %</w:t>
            </w:r>
          </w:p>
          <w:p>
            <w:pPr>
              <w:spacing w:before="0" w:after="0"/>
            </w:pPr>
            <w:r>
              <w:rPr>
                <w:b w:val="0"/>
                <w:color w:val="667085"/>
                <w:sz w:val="15"/>
              </w:rPr>
              <w:t>▼ 0.2 p. p. vs FY2025</w:t>
            </w:r>
          </w:p>
        </w:tc>
        <w:tc>
          <w:tcPr>
            <w:tcW w:type="dxa" w:w="198"/>
          </w:tcPr>
          <w:p/>
        </w:tc>
        <w:tc>
          <w:tcPr>
            <w:tcW w:type="dxa" w:w="2261"/>
            <w:tcBorders>
              <w:top w:val="single" w:sz="18" w:color="2A78D6" w:space="0"/>
              <w:left w:val="single" w:sz="4" w:color="D5DCE4" w:space="0"/>
              <w:bottom w:val="single" w:sz="4" w:color="D5DCE4" w:space="0"/>
              <w:right w:val="single" w:sz="4" w:color="D5DCE4" w:space="0"/>
            </w:tcBorders>
          </w:tcPr>
          <w:p>
            <w:pPr>
              <w:spacing w:before="0" w:after="60"/>
            </w:pPr>
            <w:r>
              <w:rPr>
                <w:b/>
                <w:caps/>
                <w:color w:val="667085"/>
                <w:sz w:val="14"/>
              </w:rPr>
              <w:t>Total capital ratio</w:t>
            </w:r>
            <w:r>
              <w:rPr>
                <w:b w:val="0"/>
                <w:color w:val="667085"/>
                <w:sz w:val="14"/>
              </w:rPr>
              <w:t xml:space="preserve">  ·  9M2026</w:t>
            </w:r>
          </w:p>
          <w:p>
            <w:pPr>
              <w:spacing w:before="0" w:after="20"/>
            </w:pPr>
            <w:r>
              <w:rPr>
                <w:b/>
                <w:color w:val="12355B"/>
                <w:sz w:val="34"/>
              </w:rPr>
              <w:t>19.2</w:t>
            </w:r>
            <w:r>
              <w:rPr>
                <w:b w:val="0"/>
                <w:color w:val="667085"/>
                <w:sz w:val="18"/>
              </w:rPr>
              <w:t xml:space="preserve"> %</w:t>
            </w:r>
          </w:p>
          <w:p>
            <w:pPr>
              <w:spacing w:before="0" w:after="0"/>
            </w:pPr>
            <w:r>
              <w:rPr>
                <w:b w:val="0"/>
                <w:color w:val="667085"/>
                <w:sz w:val="15"/>
              </w:rPr>
              <w:t>▲ 0.5 p. p. vs FY2025</w:t>
            </w:r>
          </w:p>
        </w:tc>
      </w:tr>
    </w:tbl>
    <w:p>
      <w:pPr>
        <w:spacing w:before="0" w:after="40"/>
      </w:pPr>
    </w:p>
    <w:p>
      <w:pPr>
        <w:keepNext/>
        <w:spacing w:before="200" w:after="100"/>
      </w:pPr>
      <w:r>
        <w:rPr>
          <w:b/>
          <w:color w:val="12355B"/>
          <w:sz w:val="26"/>
        </w:rPr>
        <w:t>Quick summary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Profit stable, costs rising:</w:t>
      </w:r>
      <w:r>
        <w:rPr>
          <w:b w:val="0"/>
        </w:rPr>
        <w:t xml:space="preserve"> 9M net interest income EUR 94.0m (78.7m), profit EUR 30.1m (30.2m); cost/income 51.2% (46.7%), ROE 12.9% (14.3%)</w:t>
      </w:r>
      <w:hyperlink r:id="rId14">
        <w:r>
          <w:rPr>
            <w:color w:val="2A78D6"/>
            <w:vertAlign w:val="superscript"/>
            <w:sz w:val="17"/>
          </w:rPr>
          <w:t xml:space="preserve">3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Fast growth:</w:t>
      </w:r>
      <w:r>
        <w:rPr>
          <w:b w:val="0"/>
        </w:rPr>
        <w:t xml:space="preserve"> loans EUR 3.27bn (+EUR 688m year on year), deposits EUR 3.52bn; total assets passed EUR 4bn</w:t>
      </w:r>
      <w:hyperlink r:id="rId14">
        <w:r>
          <w:rPr>
            <w:color w:val="2A78D6"/>
            <w:vertAlign w:val="superscript"/>
            <w:sz w:val="17"/>
          </w:rPr>
          <w:t xml:space="preserve">7</w:t>
        </w:r>
      </w:hyperlink>
      <w:r>
        <w:rPr>
          <w:color w:val="2A78D6"/>
          <w:vertAlign w:val="superscript"/>
        </w:rPr>
        <w:t>,</w:t>
      </w:r>
      <w:hyperlink r:id="rId15">
        <w:r>
          <w:rPr>
            <w:color w:val="2A78D6"/>
            <w:vertAlign w:val="superscript"/>
            <w:sz w:val="17"/>
          </w:rPr>
          <w:t xml:space="preserve">4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Capital:</w:t>
      </w:r>
      <w:r>
        <w:rPr>
          <w:b w:val="0"/>
        </w:rPr>
        <w:t xml:space="preserve"> CET1 13.2%, total capital 19.2%, leverage 8.5%; LCR 225.8%</w:t>
      </w:r>
      <w:hyperlink r:id="rId14">
        <w:r>
          <w:rPr>
            <w:color w:val="2A78D6"/>
            <w:vertAlign w:val="superscript"/>
            <w:sz w:val="17"/>
          </w:rPr>
          <w:t xml:space="preserve">8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Quality improving:</w:t>
      </w:r>
      <w:r>
        <w:rPr>
          <w:b w:val="0"/>
        </w:rPr>
        <w:t xml:space="preserve"> Stage 3 loans EUR 100m – 3.0% (4.3% at end-2025)</w:t>
      </w:r>
      <w:hyperlink r:id="rId18">
        <w:r>
          <w:rPr>
            <w:color w:val="2A78D6"/>
            <w:vertAlign w:val="superscript"/>
            <w:sz w:val="17"/>
          </w:rPr>
          <w:t xml:space="preserve">9</w:t>
        </w:r>
      </w:hyperlink>
      <w:r>
        <w:rPr>
          <w:color w:val="2A78D6"/>
          <w:vertAlign w:val="superscript"/>
        </w:rPr>
        <w:t>,</w:t>
      </w:r>
      <w:hyperlink r:id="rId19">
        <w:r>
          <w:rPr>
            <w:color w:val="2A78D6"/>
            <w:vertAlign w:val="superscript"/>
            <w:sz w:val="17"/>
          </w:rPr>
          <w:t xml:space="preserve">10</w:t>
        </w:r>
      </w:hyperlink>
      <w:r>
        <w:rPr>
          <w:b w:val="0"/>
        </w:rPr>
        <w:t>.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01</w:t>
        <w:tab/>
      </w:r>
      <w:r>
        <w:rPr>
          <w:b/>
          <w:color w:val="12355B"/>
          <w:sz w:val="28"/>
        </w:rPr>
        <w:t>Instruments held and ISINs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1457"/>
        <w:gridCol w:w="2241"/>
        <w:gridCol w:w="1064"/>
        <w:gridCol w:w="1120"/>
        <w:gridCol w:w="1569"/>
        <w:gridCol w:w="2185"/>
      </w:tblGrid>
      <w:tr>
        <w:tc>
          <w:tcPr>
            <w:tcW w:type="dxa" w:w="1457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ISIN</w:t>
            </w:r>
          </w:p>
        </w:tc>
        <w:tc>
          <w:tcPr>
            <w:tcW w:type="dxa" w:w="2241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Instrument</w:t>
            </w:r>
          </w:p>
        </w:tc>
        <w:tc>
          <w:tcPr>
            <w:tcW w:type="dxa" w:w="1065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Coupon</w:t>
            </w:r>
          </w:p>
        </w:tc>
        <w:tc>
          <w:tcPr>
            <w:tcW w:type="dxa" w:w="1121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Maturity</w:t>
            </w:r>
          </w:p>
        </w:tc>
        <w:tc>
          <w:tcPr>
            <w:tcW w:type="dxa" w:w="1569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Issue rating</w:t>
            </w:r>
          </w:p>
        </w:tc>
        <w:tc>
          <w:tcPr>
            <w:tcW w:type="dxa" w:w="2185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Note</w:t>
            </w:r>
          </w:p>
        </w:tc>
      </w:tr>
      <w:tr>
        <w:tc>
          <w:tcPr>
            <w:tcW w:type="dxa" w:w="14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EE3300003581</w:t>
            </w:r>
          </w:p>
        </w:tc>
        <w:tc>
          <w:tcPr>
            <w:tcW w:type="dxa" w:w="224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Bigbank 12% AT1 temporary write-down notes (August 2023)</w:t>
            </w:r>
          </w:p>
        </w:tc>
        <w:tc>
          <w:tcPr>
            <w:tcW w:type="dxa" w:w="106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12%</w:t>
            </w:r>
          </w:p>
        </w:tc>
        <w:tc>
          <w:tcPr>
            <w:tcW w:type="dxa" w:w="112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perpetual</w:t>
            </w:r>
          </w:p>
        </w:tc>
        <w:tc>
          <w:tcPr>
            <w:tcW w:type="dxa" w:w="1569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no separate rating found</w:t>
            </w:r>
          </w:p>
        </w:tc>
        <w:tc>
          <w:tcPr>
            <w:tcW w:type="dxa" w:w="218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Perpetual AT1; call possible from 5 years after issue (first interest date 2028-09-15, tool-derived); trigger CET1 7%</w:t>
            </w:r>
          </w:p>
        </w:tc>
      </w:tr>
    </w:tbl>
    <w:p>
      <w:pPr>
        <w:spacing w:before="0" w:after="40"/>
      </w:pP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02</w:t>
        <w:tab/>
      </w:r>
      <w:r>
        <w:rPr>
          <w:b/>
          <w:color w:val="12355B"/>
          <w:sz w:val="28"/>
        </w:rPr>
        <w:t>Key ratios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2864"/>
        <w:gridCol w:w="1156"/>
        <w:gridCol w:w="1156"/>
        <w:gridCol w:w="1156"/>
        <w:gridCol w:w="1156"/>
        <w:gridCol w:w="2148"/>
      </w:tblGrid>
      <w:tr>
        <w:tc>
          <w:tcPr>
            <w:tcW w:type="dxa" w:w="2864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Metric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FY2024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FY2025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9M2025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9M2026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Change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Net interest income, EUR m</w:t>
            </w:r>
            <w:hyperlink r:id="rId20">
              <w:r>
                <w:rPr>
                  <w:color w:val="2A78D6"/>
                  <w:vertAlign w:val="superscript"/>
                  <w:sz w:val="14"/>
                </w:rPr>
                <w:t xml:space="preserve">11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4">
              <w:r>
                <w:rPr>
                  <w:color w:val="2A78D6"/>
                  <w:vertAlign w:val="superscript"/>
                  <w:sz w:val="14"/>
                </w:rPr>
                <w:t xml:space="preserve">3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102.4*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106.2*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78.7*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94.0*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1B7F3B"/>
                <w:sz w:val="17"/>
              </w:rPr>
              <w:t>▲ 19.4 % vs 9M2025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Total operating income, EUR m</w:t>
            </w:r>
            <w:hyperlink r:id="rId20">
              <w:r>
                <w:rPr>
                  <w:color w:val="2A78D6"/>
                  <w:vertAlign w:val="superscript"/>
                  <w:sz w:val="14"/>
                </w:rPr>
                <w:t xml:space="preserve">11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4">
              <w:r>
                <w:rPr>
                  <w:color w:val="2A78D6"/>
                  <w:vertAlign w:val="superscript"/>
                  <w:sz w:val="14"/>
                </w:rPr>
                <w:t xml:space="preserve">3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112.7*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114.5*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85.5*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97.5*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1B7F3B"/>
                <w:sz w:val="17"/>
              </w:rPr>
              <w:t>▲ 14.0 % vs 9M2025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Net profit, EUR m</w:t>
            </w:r>
            <w:hyperlink r:id="rId20">
              <w:r>
                <w:rPr>
                  <w:color w:val="2A78D6"/>
                  <w:vertAlign w:val="superscript"/>
                  <w:sz w:val="14"/>
                </w:rPr>
                <w:t xml:space="preserve">11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4">
              <w:r>
                <w:rPr>
                  <w:color w:val="2A78D6"/>
                  <w:vertAlign w:val="superscript"/>
                  <w:sz w:val="14"/>
                </w:rPr>
                <w:t xml:space="preserve">3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32.3*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37.9*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30.2*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30.1*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B42318"/>
                <w:sz w:val="17"/>
              </w:rPr>
              <w:t>▼ 0.3 % vs 9M2025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Cost/income ratio</w:t>
            </w:r>
            <w:hyperlink r:id="rId21">
              <w:r>
                <w:rPr>
                  <w:color w:val="2A78D6"/>
                  <w:vertAlign w:val="superscript"/>
                  <w:sz w:val="14"/>
                </w:rPr>
                <w:t xml:space="preserve">12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4">
              <w:r>
                <w:rPr>
                  <w:color w:val="2A78D6"/>
                  <w:vertAlign w:val="superscript"/>
                  <w:sz w:val="14"/>
                </w:rPr>
                <w:t xml:space="preserve">3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42.3%*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48.6%*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46.7%*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FDF1D8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>51.2%*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B42318"/>
                <w:sz w:val="17"/>
              </w:rPr>
              <w:t>▲ 4.5 p. p. vs 9M2025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ROE</w:t>
            </w:r>
            <w:hyperlink r:id="rId21">
              <w:r>
                <w:rPr>
                  <w:color w:val="2A78D6"/>
                  <w:vertAlign w:val="superscript"/>
                  <w:sz w:val="14"/>
                </w:rPr>
                <w:t xml:space="preserve">12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4">
              <w:r>
                <w:rPr>
                  <w:color w:val="2A78D6"/>
                  <w:vertAlign w:val="superscript"/>
                  <w:sz w:val="14"/>
                </w:rPr>
                <w:t xml:space="preserve">3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12.5%*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13.3%*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14.3%*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E3F3E8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>12.9%*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B42318"/>
                <w:sz w:val="17"/>
              </w:rPr>
              <w:t>▼ 1.4 p. p. vs 9M2025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Loans to customers, EUR m</w:t>
            </w:r>
            <w:hyperlink r:id="rId20">
              <w:r>
                <w:rPr>
                  <w:color w:val="2A78D6"/>
                  <w:vertAlign w:val="superscript"/>
                  <w:sz w:val="14"/>
                </w:rPr>
                <w:t xml:space="preserve">11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4">
              <w:r>
                <w:rPr>
                  <w:color w:val="2A78D6"/>
                  <w:vertAlign w:val="superscript"/>
                  <w:sz w:val="14"/>
                </w:rPr>
                <w:t xml:space="preserve">3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2,196.5*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2,707.5*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3,268.4*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1B7F3B"/>
                <w:sz w:val="17"/>
              </w:rPr>
              <w:t>▲ 20.7 % vs FY2025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Customer deposits, EUR m</w:t>
            </w:r>
            <w:hyperlink r:id="rId20">
              <w:r>
                <w:rPr>
                  <w:color w:val="2A78D6"/>
                  <w:vertAlign w:val="superscript"/>
                  <w:sz w:val="14"/>
                </w:rPr>
                <w:t xml:space="preserve">11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22">
              <w:r>
                <w:rPr>
                  <w:color w:val="2A78D6"/>
                  <w:vertAlign w:val="superscript"/>
                  <w:sz w:val="14"/>
                </w:rPr>
                <w:t xml:space="preserve">13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2,393.3*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2,879.6*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3,523.4*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1B7F3B"/>
                <w:sz w:val="17"/>
              </w:rPr>
              <w:t>▲ 22.4 % vs FY2025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Total assets, EUR m</w:t>
            </w:r>
            <w:hyperlink r:id="rId20">
              <w:r>
                <w:rPr>
                  <w:color w:val="2A78D6"/>
                  <w:vertAlign w:val="superscript"/>
                  <w:sz w:val="14"/>
                </w:rPr>
                <w:t xml:space="preserve">11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23">
              <w:r>
                <w:rPr>
                  <w:color w:val="2A78D6"/>
                  <w:vertAlign w:val="superscript"/>
                  <w:sz w:val="14"/>
                </w:rPr>
                <w:t xml:space="preserve">14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4">
              <w:r>
                <w:rPr>
                  <w:color w:val="2A78D6"/>
                  <w:vertAlign w:val="superscript"/>
                  <w:sz w:val="14"/>
                </w:rPr>
                <w:t xml:space="preserve">3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2,778.4*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3,316.7*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3,152.0*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4,003.6*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color w:val="5F6B7A"/>
                <w:sz w:val="17"/>
              </w:rPr>
              <w:t>▲ 27.0 % vs 9M2025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Equity, EUR m</w:t>
            </w:r>
            <w:hyperlink r:id="rId20">
              <w:r>
                <w:rPr>
                  <w:color w:val="2A78D6"/>
                  <w:vertAlign w:val="superscript"/>
                  <w:sz w:val="14"/>
                </w:rPr>
                <w:t xml:space="preserve">11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24">
              <w:r>
                <w:rPr>
                  <w:color w:val="2A78D6"/>
                  <w:vertAlign w:val="superscript"/>
                  <w:sz w:val="14"/>
                </w:rPr>
                <w:t xml:space="preserve">15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22">
              <w:r>
                <w:rPr>
                  <w:color w:val="2A78D6"/>
                  <w:vertAlign w:val="superscript"/>
                  <w:sz w:val="14"/>
                </w:rPr>
                <w:t xml:space="preserve">13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269.8*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299.5*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292.4*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321.4*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1B7F3B"/>
                <w:sz w:val="17"/>
              </w:rPr>
              <w:t>▲ 9.9 % vs 9M2025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CET1 ratio</w:t>
            </w:r>
            <w:hyperlink r:id="rId21">
              <w:r>
                <w:rPr>
                  <w:color w:val="2A78D6"/>
                  <w:vertAlign w:val="superscript"/>
                  <w:sz w:val="14"/>
                </w:rPr>
                <w:t xml:space="preserve">12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6">
              <w:r>
                <w:rPr>
                  <w:color w:val="2A78D6"/>
                  <w:vertAlign w:val="superscript"/>
                  <w:sz w:val="14"/>
                </w:rPr>
                <w:t xml:space="preserve">5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13.1%*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13.4%*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FDF1D8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>13.2%*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B42318"/>
                <w:sz w:val="17"/>
              </w:rPr>
              <w:t>▼ 0.2 p. p. vs FY2025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Total capital ratio</w:t>
            </w:r>
            <w:hyperlink r:id="rId21">
              <w:r>
                <w:rPr>
                  <w:color w:val="2A78D6"/>
                  <w:vertAlign w:val="superscript"/>
                  <w:sz w:val="14"/>
                </w:rPr>
                <w:t xml:space="preserve">12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6">
              <w:r>
                <w:rPr>
                  <w:color w:val="2A78D6"/>
                  <w:vertAlign w:val="superscript"/>
                  <w:sz w:val="14"/>
                </w:rPr>
                <w:t xml:space="preserve">5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18.2%*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18.7%*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E3F3E8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>19.2%*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1B7F3B"/>
                <w:sz w:val="17"/>
              </w:rPr>
              <w:t>▲ 0.5 p. p. vs FY2025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Leverage ratio</w:t>
            </w:r>
            <w:hyperlink r:id="rId21">
              <w:r>
                <w:rPr>
                  <w:color w:val="2A78D6"/>
                  <w:vertAlign w:val="superscript"/>
                  <w:sz w:val="14"/>
                </w:rPr>
                <w:t xml:space="preserve">12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6">
              <w:r>
                <w:rPr>
                  <w:color w:val="2A78D6"/>
                  <w:vertAlign w:val="superscript"/>
                  <w:sz w:val="14"/>
                </w:rPr>
                <w:t xml:space="preserve">5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9.5%*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9.0%*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E3F3E8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>8.5%*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B42318"/>
                <w:sz w:val="17"/>
              </w:rPr>
              <w:t>▼ 0.5 p. p. vs FY2025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LCR</w:t>
            </w:r>
            <w:hyperlink r:id="rId21">
              <w:r>
                <w:rPr>
                  <w:color w:val="2A78D6"/>
                  <w:vertAlign w:val="superscript"/>
                  <w:sz w:val="14"/>
                </w:rPr>
                <w:t xml:space="preserve">12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4">
              <w:r>
                <w:rPr>
                  <w:color w:val="2A78D6"/>
                  <w:vertAlign w:val="superscript"/>
                  <w:sz w:val="14"/>
                </w:rPr>
                <w:t xml:space="preserve">3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195.0%*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201.6%*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E3F3E8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>225.8%*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1B7F3B"/>
                <w:sz w:val="17"/>
              </w:rPr>
              <w:t>▲ 24.2 p. p. vs 9M2025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NPL ratio</w:t>
            </w:r>
            <w:hyperlink r:id="rId19">
              <w:r>
                <w:rPr>
                  <w:color w:val="2A78D6"/>
                  <w:vertAlign w:val="superscript"/>
                  <w:sz w:val="14"/>
                </w:rPr>
                <w:t xml:space="preserve">10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8">
              <w:r>
                <w:rPr>
                  <w:color w:val="2A78D6"/>
                  <w:vertAlign w:val="superscript"/>
                  <w:sz w:val="14"/>
                </w:rPr>
                <w:t xml:space="preserve">9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4.3%*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FDF1D8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>3.0%*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1B7F3B"/>
                <w:sz w:val="17"/>
              </w:rPr>
              <w:t>▼ 1.3 p. p. vs FY2025</w:t>
            </w:r>
          </w:p>
        </w:tc>
      </w:tr>
    </w:tbl>
    <w:p>
      <w:pPr>
        <w:spacing w:before="0" w:after="40"/>
      </w:pPr>
    </w:p>
    <w:p>
      <w:pPr>
        <w:spacing w:before="40" w:after="60"/>
      </w:pPr>
      <w:r>
        <w:rPr>
          <w:b w:val="0"/>
          <w:color w:val="667085"/>
          <w:sz w:val="16"/>
        </w:rPr>
        <w:t>Colours: green change – the metric is improving, red – worsening. Latest-period cell background: green – good level, amber – average, red – weak (internal benchmarks, config/metric_rules.yaml).</w:t>
      </w:r>
    </w:p>
    <w:p>
      <w:pPr>
        <w:spacing w:before="40" w:after="60"/>
      </w:pPr>
      <w:r>
        <w:rPr>
          <w:b w:val="0"/>
          <w:color w:val="667085"/>
          <w:sz w:val="16"/>
        </w:rPr>
        <w:t>* – taken from the report summary;  ᶜ – own calculation. Small numbers next to text link to the source (opens the document at the cited page).</w:t>
      </w:r>
    </w:p>
    <w:p>
      <w:r>
        <w:drawing>
          <wp:inline xmlns:a="http://schemas.openxmlformats.org/drawingml/2006/main" xmlns:pic="http://schemas.openxmlformats.org/drawingml/2006/picture">
            <wp:extent cx="6120000" cy="22311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gbank_en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231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03</w:t>
        <w:tab/>
      </w:r>
      <w:r>
        <w:rPr>
          <w:b/>
          <w:color w:val="12355B"/>
          <w:sz w:val="28"/>
        </w:rPr>
        <w:t>Business performance review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 w:val="0"/>
        </w:rPr>
        <w:t>An Estonian-owned bank operating in 9 countries; more than 222,000 active clients; aims to become a main bank in the Baltics</w:t>
      </w:r>
      <w:hyperlink r:id="rId15">
        <w:r>
          <w:rPr>
            <w:color w:val="2A78D6"/>
            <w:vertAlign w:val="superscript"/>
            <w:sz w:val="17"/>
          </w:rPr>
          <w:t xml:space="preserve">4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2026:</w:t>
      </w:r>
      <w:r>
        <w:rPr>
          <w:b w:val="0"/>
        </w:rPr>
        <w:t xml:space="preserve"> Apple Pay, Google Pay, a current account paying 2%; EUR 17.23m of new AT1 bonds issued in Q3</w:t>
      </w:r>
      <w:hyperlink r:id="rId15">
        <w:r>
          <w:rPr>
            <w:color w:val="2A78D6"/>
            <w:vertAlign w:val="superscript"/>
            <w:sz w:val="17"/>
          </w:rPr>
          <w:t xml:space="preserve">4</w:t>
        </w:r>
      </w:hyperlink>
      <w:r>
        <w:rPr>
          <w:b w:val="0"/>
        </w:rPr>
        <w:t>.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04</w:t>
        <w:tab/>
      </w:r>
      <w:r>
        <w:rPr>
          <w:b/>
          <w:color w:val="12355B"/>
          <w:sz w:val="28"/>
        </w:rPr>
        <w:t>Financials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 w:val="0"/>
        </w:rPr>
        <w:t>FY2025 profit EUR 37.9m (32.3m), ROE 13.3% (12.5%), CET1 13.4% (13.1%), total capital 18.7% (18.2%)</w:t>
      </w:r>
      <w:hyperlink r:id="rId20">
        <w:r>
          <w:rPr>
            <w:color w:val="2A78D6"/>
            <w:vertAlign w:val="superscript"/>
            <w:sz w:val="17"/>
          </w:rPr>
          <w:t xml:space="preserve">16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Dividend policy:</w:t>
      </w:r>
      <w:r>
        <w:rPr>
          <w:b w:val="0"/>
        </w:rPr>
        <w:t xml:space="preserve"> up to 25% of audited profit, capped at EUR 8m a year; EUR 8.0m paid in 2026</w:t>
      </w:r>
      <w:hyperlink r:id="rId26">
        <w:r>
          <w:rPr>
            <w:color w:val="2A78D6"/>
            <w:vertAlign w:val="superscript"/>
            <w:sz w:val="17"/>
          </w:rPr>
          <w:t xml:space="preserve">17</w:t>
        </w:r>
      </w:hyperlink>
      <w:r>
        <w:rPr>
          <w:color w:val="2A78D6"/>
          <w:vertAlign w:val="superscript"/>
        </w:rPr>
        <w:t>,</w:t>
      </w:r>
      <w:hyperlink r:id="rId27">
        <w:r>
          <w:rPr>
            <w:color w:val="2A78D6"/>
            <w:vertAlign w:val="superscript"/>
            <w:sz w:val="17"/>
          </w:rPr>
          <w:t xml:space="preserve">18</w:t>
        </w:r>
      </w:hyperlink>
      <w:r>
        <w:rPr>
          <w:b w:val="0"/>
        </w:rPr>
        <w:t>.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05</w:t>
        <w:tab/>
      </w:r>
      <w:r>
        <w:rPr>
          <w:b/>
          <w:color w:val="12355B"/>
          <w:sz w:val="28"/>
        </w:rPr>
        <w:t>Past plans vs outcomes</w:t>
      </w:r>
    </w:p>
    <w:tbl>
      <w:tblPr>
        <w:tblW w:w="963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2577"/>
        <w:gridCol w:w="2577"/>
        <w:gridCol w:w="3138"/>
        <w:gridCol w:w="1344"/>
      </w:tblGrid>
      <w:tr>
        <w:tc>
          <w:tcPr>
            <w:tcW w:type="dxa" w:w="2578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Plan / target</w:t>
            </w:r>
          </w:p>
        </w:tc>
        <w:tc>
          <w:tcPr>
            <w:tcW w:type="dxa" w:w="2578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Outcome</w:t>
            </w:r>
          </w:p>
        </w:tc>
        <w:tc>
          <w:tcPr>
            <w:tcW w:type="dxa" w:w="3138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What changed and why</w:t>
            </w:r>
          </w:p>
        </w:tc>
        <w:tc>
          <w:tcPr>
            <w:tcW w:type="dxa" w:w="1345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Status</w:t>
            </w:r>
          </w:p>
        </w:tc>
      </w:tr>
      <w:tr>
        <w:tc>
          <w:tcPr>
            <w:tcW w:type="dxa" w:w="257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Strategy 2022-2026: ROE of 20%</w:t>
            </w:r>
          </w:p>
        </w:tc>
        <w:tc>
          <w:tcPr>
            <w:tcW w:type="dxa" w:w="257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9M 2026 ROE 12.9%</w:t>
            </w:r>
            <w:hyperlink r:id="rId26">
              <w:r>
                <w:rPr>
                  <w:color w:val="2A78D6"/>
                  <w:vertAlign w:val="superscript"/>
                  <w:sz w:val="14"/>
                </w:rPr>
                <w:t xml:space="preserve">17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4">
              <w:r>
                <w:rPr>
                  <w:color w:val="2A78D6"/>
                  <w:vertAlign w:val="superscript"/>
                  <w:sz w:val="14"/>
                </w:rPr>
                <w:t xml:space="preserve">3</w:t>
              </w:r>
            </w:hyperlink>
          </w:p>
        </w:tc>
        <w:tc>
          <w:tcPr>
            <w:tcW w:type="dxa" w:w="313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In the final strategy year ROE is well below target</w:t>
            </w:r>
            <w:hyperlink r:id="rId14">
              <w:r>
                <w:rPr>
                  <w:color w:val="2A78D6"/>
                  <w:vertAlign w:val="superscript"/>
                  <w:sz w:val="14"/>
                </w:rPr>
                <w:t xml:space="preserve">3</w:t>
              </w:r>
            </w:hyperlink>
            <w:r>
              <w:rPr>
                <w:b w:val="0"/>
                <w:sz w:val="17"/>
              </w:rPr>
              <w:t>.</w:t>
            </w:r>
          </w:p>
        </w:tc>
        <w:tc>
          <w:tcPr>
            <w:tcW w:type="dxa" w:w="1345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FDE7E5"/>
          </w:tcPr>
          <w:p>
            <w:pPr>
              <w:spacing w:before="0" w:after="0"/>
            </w:pPr>
            <w:r>
              <w:rPr>
                <w:b/>
                <w:sz w:val="17"/>
              </w:rPr>
              <w:t>Not met</w:t>
            </w:r>
          </w:p>
        </w:tc>
      </w:tr>
      <w:tr>
        <w:tc>
          <w:tcPr>
            <w:tcW w:type="dxa" w:w="257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Dividends of 25% of profit, max EUR 8m</w:t>
            </w:r>
          </w:p>
        </w:tc>
        <w:tc>
          <w:tcPr>
            <w:tcW w:type="dxa" w:w="257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EUR 8.0m paid in 2026</w:t>
            </w:r>
            <w:hyperlink r:id="rId26">
              <w:r>
                <w:rPr>
                  <w:color w:val="2A78D6"/>
                  <w:vertAlign w:val="superscript"/>
                  <w:sz w:val="14"/>
                </w:rPr>
                <w:t xml:space="preserve">17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27">
              <w:r>
                <w:rPr>
                  <w:color w:val="2A78D6"/>
                  <w:vertAlign w:val="superscript"/>
                  <w:sz w:val="14"/>
                </w:rPr>
                <w:t xml:space="preserve">18</w:t>
              </w:r>
            </w:hyperlink>
          </w:p>
        </w:tc>
        <w:tc>
          <w:tcPr>
            <w:tcW w:type="dxa" w:w="313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In line with policy</w:t>
            </w:r>
            <w:hyperlink r:id="rId27">
              <w:r>
                <w:rPr>
                  <w:color w:val="2A78D6"/>
                  <w:vertAlign w:val="superscript"/>
                  <w:sz w:val="14"/>
                </w:rPr>
                <w:t xml:space="preserve">18</w:t>
              </w:r>
            </w:hyperlink>
            <w:r>
              <w:rPr>
                <w:b w:val="0"/>
                <w:sz w:val="17"/>
              </w:rPr>
              <w:t>.</w:t>
            </w:r>
          </w:p>
        </w:tc>
        <w:tc>
          <w:tcPr>
            <w:tcW w:type="dxa" w:w="1345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E3F3E8"/>
          </w:tcPr>
          <w:p>
            <w:pPr>
              <w:spacing w:before="0" w:after="0"/>
            </w:pPr>
            <w:r>
              <w:rPr>
                <w:b/>
                <w:sz w:val="17"/>
              </w:rPr>
              <w:t>Met</w:t>
            </w:r>
          </w:p>
        </w:tc>
      </w:tr>
    </w:tbl>
    <w:p>
      <w:pPr>
        <w:spacing w:before="0" w:after="40"/>
      </w:pP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06</w:t>
        <w:tab/>
      </w:r>
      <w:r>
        <w:rPr>
          <w:b/>
          <w:color w:val="12355B"/>
          <w:sz w:val="28"/>
        </w:rPr>
        <w:t>Investor information &amp; conclusions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Instrument held:</w:t>
      </w:r>
      <w:r>
        <w:rPr>
          <w:b w:val="0"/>
        </w:rPr>
        <w:t xml:space="preserve"> 12% perpetual AT1 note EE3300003581 (August 2023 series), issued 2023-08-31, EUR 5.08m, quarterly coupon; unlisted (private placement)</w:t>
      </w:r>
      <w:hyperlink r:id="rId17">
        <w:r>
          <w:rPr>
            <w:color w:val="2A78D6"/>
            <w:vertAlign w:val="superscript"/>
            <w:sz w:val="17"/>
          </w:rPr>
          <w:t xml:space="preserve">6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Terms:</w:t>
      </w:r>
      <w:r>
        <w:rPr>
          <w:b w:val="0"/>
        </w:rPr>
        <w:t xml:space="preserve"> callable no earlier than 5 years after issue (first interest date after that is 2028-09-15, own calculation), with supervisory approval</w:t>
      </w:r>
      <w:hyperlink r:id="rId28">
        <w:r>
          <w:rPr>
            <w:color w:val="2A78D6"/>
            <w:vertAlign w:val="superscript"/>
            <w:sz w:val="17"/>
          </w:rPr>
          <w:t xml:space="preserve">19</w:t>
        </w:r>
      </w:hyperlink>
      <w:r>
        <w:rPr>
          <w:b w:val="0"/>
        </w:rPr>
        <w:t>. If group or bank CET1 falls below 7%, the principal is temporarily written down; the bank may cancel coupons at its discretion and cancelled coupons do not accumulate</w:t>
      </w:r>
      <w:hyperlink r:id="rId17">
        <w:r>
          <w:rPr>
            <w:color w:val="2A78D6"/>
            <w:vertAlign w:val="superscript"/>
            <w:sz w:val="17"/>
          </w:rPr>
          <w:t xml:space="preserve">6</w:t>
        </w:r>
      </w:hyperlink>
      <w:r>
        <w:rPr>
          <w:color w:val="2A78D6"/>
          <w:vertAlign w:val="superscript"/>
        </w:rPr>
        <w:t>,</w:t>
      </w:r>
      <w:hyperlink r:id="rId28">
        <w:r>
          <w:rPr>
            <w:color w:val="2A78D6"/>
            <w:vertAlign w:val="superscript"/>
            <w:sz w:val="17"/>
          </w:rPr>
          <w:t xml:space="preserve">20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Headroom:</w:t>
      </w:r>
      <w:r>
        <w:rPr>
          <w:b w:val="0"/>
        </w:rPr>
        <w:t xml:space="preserve"> CET1 13.2% – about 6 pp above the trigger</w:t>
      </w:r>
      <w:hyperlink r:id="rId16">
        <w:r>
          <w:rPr>
            <w:color w:val="2A78D6"/>
            <w:vertAlign w:val="superscript"/>
            <w:sz w:val="17"/>
          </w:rPr>
          <w:t xml:space="preserve">5</w:t>
        </w:r>
      </w:hyperlink>
      <w:r>
        <w:rPr>
          <w:b w:val="0"/>
        </w:rPr>
        <w:t>. AT1 is the lowest-ranking debt (below deposits and Tier 2)</w:t>
      </w:r>
      <w:hyperlink r:id="rId28">
        <w:r>
          <w:rPr>
            <w:color w:val="2A78D6"/>
            <w:vertAlign w:val="superscript"/>
            <w:sz w:val="17"/>
          </w:rPr>
          <w:t xml:space="preserve">21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Conclusion:</w:t>
      </w:r>
      <w:r>
        <w:rPr>
          <w:b w:val="0"/>
        </w:rPr>
        <w:t xml:space="preserve"> moderate risk – a profitable, growing bank with adequate capital, but an AT1 instrument and a negative Moody's outlook.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07</w:t>
        <w:tab/>
      </w:r>
      <w:r>
        <w:rPr>
          <w:b/>
          <w:color w:val="12355B"/>
          <w:sz w:val="28"/>
        </w:rPr>
        <w:t>Market and environment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Euribor rose:</w:t>
      </w:r>
      <w:r>
        <w:rPr>
          <w:b w:val="0"/>
        </w:rPr>
        <w:t xml:space="preserve"> 6-month Euribor rose from about 2.6% to 3.1% in Q3; the bank links this to Middle East conflicts that pushed up energy prices and inflation, another ECB hike, and expectations of higher-for-longer rates</w:t>
      </w:r>
      <w:hyperlink r:id="rId18">
        <w:r>
          <w:rPr>
            <w:color w:val="2A78D6"/>
            <w:vertAlign w:val="superscript"/>
            <w:sz w:val="17"/>
          </w:rPr>
          <w:t xml:space="preserve">9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Income and quality:</w:t>
      </w:r>
      <w:r>
        <w:rPr>
          <w:b w:val="0"/>
        </w:rPr>
        <w:t xml:space="preserve"> Q3 net interest income EUR 33.8m (+23.7%); credit-loss charge EUR 2.2m (-9.7%), stage 3 loans down to 3.0% of the book</w:t>
      </w:r>
      <w:hyperlink r:id="rId18">
        <w:r>
          <w:rPr>
            <w:color w:val="2A78D6"/>
            <w:vertAlign w:val="superscript"/>
            <w:sz w:val="17"/>
          </w:rPr>
          <w:t xml:space="preserve">22</w:t>
        </w:r>
      </w:hyperlink>
      <w:r>
        <w:rPr>
          <w:b w:val="0"/>
        </w:rPr>
        <w:t>. Loan demand stable, Baltic outlook moderately positive</w:t>
      </w:r>
      <w:hyperlink r:id="rId18">
        <w:r>
          <w:rPr>
            <w:color w:val="2A78D6"/>
            <w:vertAlign w:val="superscript"/>
            <w:sz w:val="17"/>
          </w:rPr>
          <w:t xml:space="preserve">9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Costs:</w:t>
      </w:r>
      <w:r>
        <w:rPr>
          <w:b w:val="0"/>
        </w:rPr>
        <w:t xml:space="preserve"> payroll +24% and headcount +20% (741) as everyday-banking services are launched</w:t>
      </w:r>
      <w:hyperlink r:id="rId29">
        <w:r>
          <w:rPr>
            <w:color w:val="2A78D6"/>
            <w:vertAlign w:val="superscript"/>
            <w:sz w:val="17"/>
          </w:rPr>
          <w:t xml:space="preserve">23</w:t>
        </w:r>
      </w:hyperlink>
      <w:r>
        <w:rPr>
          <w:b w:val="0"/>
        </w:rPr>
        <w:t>.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3515"/>
        <w:gridCol w:w="1814"/>
        <w:gridCol w:w="1360"/>
        <w:gridCol w:w="1360"/>
        <w:gridCol w:w="1587"/>
      </w:tblGrid>
      <w:tr>
        <w:tc>
          <w:tcPr>
            <w:tcW w:type="dxa" w:w="3515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</w:r>
          </w:p>
        </w:tc>
        <w:tc>
          <w:tcPr>
            <w:tcW w:type="dxa" w:w="1814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Now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3 months ago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12 months ago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12-month change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ECB deposit facility rate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2.50% (2026-09)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2.25%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3-month Euribor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2.64% (2026-09)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2.34%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2.03%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▲ 0.61 p. p.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6-month Euribor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2.92% (2026-09)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2.60%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2.10%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▲ 0.82 p. p.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12-month Euribor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3.25% (2026-09)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2.80%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2.17%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▲ 1.08 p. p.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Euro area AAA government 10-year yield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3.37% (2026-10)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3.23%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2.72%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▲ 0.65 p. p.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Euro area inflation (HICP, annual)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1.90% (2025-12)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2.20%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2.40%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▼ 0.50 p. p.</w:t>
            </w:r>
          </w:p>
        </w:tc>
      </w:tr>
    </w:tbl>
    <w:p>
      <w:pPr>
        <w:spacing w:before="0" w:after="40"/>
      </w:pPr>
    </w:p>
    <w:p>
      <w:pPr>
        <w:spacing w:before="40" w:after="60"/>
      </w:pPr>
      <w:r>
        <w:rPr>
          <w:b w:val="0"/>
          <w:color w:val="667085"/>
          <w:sz w:val="16"/>
        </w:rPr>
        <w:t>Euro area rates and inflation (ECB data, end-of-month value; Euribor and inflation – monthly average). Relevant for floating-rate and reset bonds and refinancing costs.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08</w:t>
        <w:tab/>
      </w:r>
      <w:r>
        <w:rPr>
          <w:b/>
          <w:color w:val="12355B"/>
          <w:sz w:val="28"/>
        </w:rPr>
        <w:t>In the press</w:t>
      </w:r>
    </w:p>
    <w:p>
      <w:pPr>
        <w:spacing w:before="40" w:after="60"/>
      </w:pPr>
      <w:r>
        <w:rPr>
          <w:b w:val="0"/>
          <w:color w:val="667085"/>
          <w:sz w:val="18"/>
        </w:rPr>
        <w:t>Automatic news scan (Google News, EE), 2026-07-29 – 2026-10-27: 3 articles.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80" w:type="dxa"/>
          <w:left w:w="0" w:type="dxa"/>
          <w:bottom w:w="80" w:type="dxa"/>
          <w:right w:w="120" w:type="dxa"/>
        </w:tblCellMar>
        <w:tblLook w:firstColumn="1" w:firstRow="1" w:lastColumn="0" w:lastRow="0" w:noHBand="0" w:noVBand="1" w:val="04A0"/>
      </w:tblPr>
      <w:tblGrid>
        <w:gridCol w:w="1020"/>
        <w:gridCol w:w="1360"/>
        <w:gridCol w:w="7257"/>
      </w:tblGrid>
      <w:tr>
        <w:tc>
          <w:tcPr>
            <w:tcW w:type="dxa" w:w="102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color w:val="1B2430"/>
                <w:sz w:val="17"/>
              </w:rPr>
              <w:t>2026-10-22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olor w:val="1F4E79"/>
                <w:sz w:val="14"/>
                <w:shd w:val="clear" w:color="auto" w:fill="EAF1F8"/>
              </w:rPr>
              <w:t xml:space="preserve"> RESULTS </w:t>
            </w:r>
          </w:p>
        </w:tc>
        <w:tc>
          <w:tcPr>
            <w:tcW w:type="dxa" w:w="7257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hyperlink r:id="rId30">
              <w:r>
                <w:rPr>
                  <w:color w:val="1B2430"/>
                  <w:sz w:val="18"/>
                </w:rPr>
                <w:t xml:space="preserve">Tegevust laiendav Bigbank suurendas kasumit</w:t>
              </w:r>
            </w:hyperlink>
            <w:r>
              <w:rPr>
                <w:b w:val="0"/>
                <w:color w:val="667085"/>
                <w:sz w:val="15"/>
              </w:rPr>
              <w:t xml:space="preserve">   Äripäev  ·  1 more similar articles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color w:val="1B2430"/>
                <w:sz w:val="17"/>
              </w:rPr>
              <w:t>2026-10-25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olor w:val="5F6B7A"/>
                <w:sz w:val="14"/>
                <w:shd w:val="clear" w:color="auto" w:fill="F0F2F5"/>
              </w:rPr>
              <w:t xml:space="preserve"> OTHER </w:t>
            </w:r>
          </w:p>
        </w:tc>
        <w:tc>
          <w:tcPr>
            <w:tcW w:type="dxa" w:w="7257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hyperlink r:id="rId31">
              <w:r>
                <w:rPr>
                  <w:color w:val="1B2430"/>
                  <w:sz w:val="18"/>
                </w:rPr>
                <w:t xml:space="preserve">TÜ/Bigbank alustas karikavõistluste veerandfinaali veenva võiduga</w:t>
              </w:r>
            </w:hyperlink>
            <w:r>
              <w:rPr>
                <w:b w:val="0"/>
                <w:color w:val="667085"/>
                <w:sz w:val="15"/>
              </w:rPr>
              <w:t xml:space="preserve">   ERR</w:t>
            </w:r>
          </w:p>
        </w:tc>
      </w:tr>
    </w:tbl>
    <w:p>
      <w:pPr>
        <w:spacing w:before="0" w:after="40"/>
      </w:pP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09</w:t>
        <w:tab/>
      </w:r>
      <w:r>
        <w:rPr>
          <w:b/>
          <w:color w:val="12355B"/>
          <w:sz w:val="28"/>
        </w:rPr>
        <w:t>ESG report</w:t>
      </w:r>
    </w:p>
    <w:p>
      <w:pPr>
        <w:keepNext/>
        <w:shd w:val="clear" w:color="auto" w:fill="EEF3F8"/>
        <w:spacing w:before="200" w:after="80"/>
        <w:ind w:left="85"/>
      </w:pPr>
      <w:r>
        <w:rPr>
          <w:b/>
          <w:caps/>
          <w:color w:val="12355B"/>
          <w:sz w:val="19"/>
        </w:rPr>
        <w:t>Exclusionary screening (companies)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is not involved in excluded sectors: controversial and nuclear weapons, tobacco, gambling and restricted sectors in fossil fuel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A bank (consumer, mortgage and business loans)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No activity in excluded sectors</w:t>
            </w:r>
            <w:hyperlink r:id="rId15">
              <w:r>
                <w:rPr>
                  <w:color w:val="2A78D6"/>
                  <w:vertAlign w:val="superscript"/>
                  <w:sz w:val="15"/>
                </w:rPr>
                <w:t xml:space="preserve">4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does not have red flag/signal related to controversies based on UN Global Compact, OECD Guidelines for Multinational Enterprises or any other relevant principles/standards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No UN Global Compact or OECD related controversies found.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is not in the list of sanctions (add a screenshot)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Not found on the EU, UN, US OFAC consolidated sanctions lists (automatic check 2026-10-27).</w:t>
            </w:r>
          </w:p>
          <w:p>
            <w:pPr>
              <w:spacing w:before="40" w:after="0"/>
            </w:pPr>
            <w:r>
              <w:rPr>
                <w:b/>
                <w:color w:val="333333"/>
                <w:sz w:val="18"/>
              </w:rPr>
              <w:t>Manual check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OFAC sanctions search</w:t>
            </w:r>
            <w:hyperlink r:id="rId32">
              <w:r>
                <w:rPr>
                  <w:color w:val="2A78D6"/>
                  <w:vertAlign w:val="superscript"/>
                  <w:sz w:val="15"/>
                </w:rPr>
                <w:t xml:space="preserve">24</w:t>
              </w:r>
            </w:hyperlink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EU Sanctions Map</w:t>
            </w:r>
            <w:hyperlink r:id="rId33">
              <w:r>
                <w:rPr>
                  <w:color w:val="2A78D6"/>
                  <w:vertAlign w:val="superscript"/>
                  <w:sz w:val="15"/>
                </w:rPr>
                <w:t xml:space="preserve">25</w:t>
              </w:r>
            </w:hyperlink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SEB eNameChecker (internal SEB system).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issues were not identified from adverse media checks (add a screenshot)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No new adverse news found (2026-10-22).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Earlier: in 2024 the Estonian FSA ordered improvements to the credit risk write-down methodology, with no fine</w:t>
            </w:r>
            <w:hyperlink r:id="rId34">
              <w:r>
                <w:rPr>
                  <w:color w:val="2A78D6"/>
                  <w:vertAlign w:val="superscript"/>
                  <w:sz w:val="15"/>
                </w:rPr>
                <w:t xml:space="preserve">26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News summary 2026-07-29 – 2026-10-27: 3 articles, 0 with an adverse keyword in the headline (details in the section "In the press").</w:t>
            </w:r>
          </w:p>
        </w:tc>
      </w:tr>
    </w:tbl>
    <w:p>
      <w:pPr>
        <w:spacing w:before="120" w:after="40"/>
      </w:pPr>
      <w:r>
        <w:rPr>
          <w:i/>
          <w:color w:val="333333"/>
          <w:sz w:val="18"/>
        </w:rPr>
        <w:t>In case any red flags, risks, unclarities were identified then additional checks (sanctions screening and adverse media checks) on the company’s Ultimate Beneficial Owners and/or senior management shall be performed.</w:t>
      </w:r>
    </w:p>
    <w:p>
      <w:pPr>
        <w:spacing w:before="120" w:after="40"/>
      </w:pPr>
      <w:r>
        <w:rPr>
          <w:b/>
          <w:sz w:val="19"/>
        </w:rPr>
        <w:t xml:space="preserve">Additional comments: </w:t>
      </w:r>
    </w:p>
    <w:p>
      <w:pPr>
        <w:keepNext/>
        <w:shd w:val="clear" w:color="auto" w:fill="EEF3F8"/>
        <w:spacing w:before="200" w:after="80"/>
        <w:ind w:left="85"/>
      </w:pPr>
      <w:r>
        <w:rPr>
          <w:b/>
          <w:caps/>
          <w:color w:val="12355B"/>
          <w:sz w:val="19"/>
        </w:rPr>
        <w:t>ESG integration and positive screening (positive answers imply higher allocation)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is promoting environmental or social characteristics (activities, ESG policy, good ESG rating, etc)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The annual report includes a sustainability report (from p.40)</w:t>
            </w:r>
            <w:hyperlink r:id="rId35">
              <w:r>
                <w:rPr>
                  <w:color w:val="2A78D6"/>
                  <w:vertAlign w:val="superscript"/>
                  <w:sz w:val="15"/>
                </w:rPr>
                <w:t xml:space="preserve">27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activities of the company or it’s strategy is aligned with the taxonomy and/or Paris agreement targets (e.g. net zero commitment)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The sustainability report follows ESRS and carries an assurance report</w:t>
            </w:r>
            <w:hyperlink r:id="rId35">
              <w:r>
                <w:rPr>
                  <w:color w:val="2A78D6"/>
                  <w:vertAlign w:val="superscript"/>
                  <w:sz w:val="15"/>
                </w:rPr>
                <w:t xml:space="preserve">28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does not have yellow flag/signal related to controversies based on UN Global Compact or any other relevant principles/standards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No yellow flags found.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fulfills the expectations from SEB thematic and sector policies</w:t>
            </w:r>
          </w:p>
          <w:p>
            <w:pPr>
              <w:spacing w:before="40" w:after="0"/>
            </w:pPr>
            <w:r>
              <w:rPr>
                <w:b/>
                <w:color w:val="333333"/>
                <w:sz w:val="18"/>
              </w:rPr>
              <w:t>Applicable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The Investments policy</w:t>
            </w:r>
            <w:hyperlink r:id="rId36">
              <w:r>
                <w:rPr>
                  <w:color w:val="2A78D6"/>
                  <w:vertAlign w:val="superscript"/>
                  <w:sz w:val="15"/>
                </w:rPr>
                <w:t xml:space="preserve">29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  <w:p>
            <w:pPr>
              <w:spacing w:before="40" w:after="0"/>
            </w:pPr>
            <w:r>
              <w:rPr>
                <w:b/>
                <w:color w:val="333333"/>
                <w:sz w:val="18"/>
              </w:rPr>
              <w:t>Met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A regulated EU bank with a sustainability report</w:t>
            </w:r>
            <w:hyperlink r:id="rId35">
              <w:r>
                <w:rPr>
                  <w:color w:val="2A78D6"/>
                  <w:vertAlign w:val="superscript"/>
                  <w:sz w:val="15"/>
                </w:rPr>
                <w:t xml:space="preserve">27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p>
      <w:pPr>
        <w:spacing w:before="120" w:after="40"/>
      </w:pPr>
      <w:r>
        <w:rPr>
          <w:b/>
          <w:sz w:val="19"/>
        </w:rPr>
        <w:t xml:space="preserve">Additional comments: </w:t>
      </w:r>
    </w:p>
    <w:p>
      <w:pPr>
        <w:keepNext/>
        <w:shd w:val="clear" w:color="auto" w:fill="EEF3F8"/>
        <w:spacing w:before="200" w:after="80"/>
        <w:ind w:left="85"/>
      </w:pPr>
      <w:r>
        <w:rPr>
          <w:b/>
          <w:caps/>
          <w:color w:val="12355B"/>
          <w:sz w:val="19"/>
        </w:rPr>
        <w:t>Engagement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9AA5B1"/>
                <w:sz w:val="24"/>
              </w:rPr>
              <w:t>☐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Is there a need for pro-active engagement with the company?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No need.</w:t>
            </w:r>
          </w:p>
        </w:tc>
      </w:tr>
    </w:tbl>
    <w:p>
      <w:pPr>
        <w:spacing w:before="120" w:after="40"/>
      </w:pPr>
      <w:r>
        <w:rPr>
          <w:b/>
          <w:sz w:val="19"/>
        </w:rPr>
        <w:t xml:space="preserve">Additional comments: </w:t>
      </w:r>
    </w:p>
    <w:p>
      <w:pPr>
        <w:keepNext/>
        <w:shd w:val="clear" w:color="auto" w:fill="EEF3F8"/>
        <w:spacing w:before="200" w:after="80"/>
        <w:ind w:left="85"/>
      </w:pPr>
      <w:r>
        <w:rPr>
          <w:b/>
          <w:caps/>
          <w:color w:val="12355B"/>
          <w:sz w:val="19"/>
        </w:rPr>
        <w:t>Indicators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indicators of the company support the targets of sustainability and PAI indicators followed by the Fund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Sustainability indicators are published in the annual report</w:t>
            </w:r>
            <w:hyperlink r:id="rId35">
              <w:r>
                <w:rPr>
                  <w:color w:val="2A78D6"/>
                  <w:vertAlign w:val="superscript"/>
                  <w:sz w:val="15"/>
                </w:rPr>
                <w:t xml:space="preserve">27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p>
      <w:pPr>
        <w:spacing w:before="120" w:after="40"/>
      </w:pPr>
      <w:r>
        <w:rPr>
          <w:b/>
          <w:sz w:val="19"/>
        </w:rPr>
        <w:t xml:space="preserve">Additional comments: </w:t>
      </w:r>
    </w:p>
    <w:p>
      <w:pPr>
        <w:spacing w:before="120" w:after="40"/>
      </w:pPr>
      <w:r>
        <w:rPr>
          <w:b/>
          <w:sz w:val="19"/>
        </w:rPr>
        <w:t xml:space="preserve">Conclusion: </w:t>
      </w:r>
      <w:r>
        <w:rPr>
          <w:b w:val="0"/>
          <w:sz w:val="19"/>
        </w:rPr>
        <w:t>No exclusions or red flags.</w:t>
      </w:r>
    </w:p>
    <w:p>
      <w:pPr>
        <w:spacing w:before="40" w:after="60"/>
      </w:pPr>
      <w:r>
        <w:rPr>
          <w:b w:val="0"/>
          <w:color w:val="667085"/>
          <w:sz w:val="16"/>
        </w:rPr>
        <w:t>SEB policies applied: Policy on Sustainability Considerations in Investments (SEB AB); Financial sector - no dedicated SEB sector policy (thematic policies applied); Environmental Policy on Climate, Nature and Water (thematic); Social and Human Rights Policy (thematic); Governance expectations in sector policies (anti-corruption, tax, reporting)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10</w:t>
        <w:tab/>
      </w:r>
      <w:r>
        <w:rPr>
          <w:b/>
          <w:color w:val="12355B"/>
          <w:sz w:val="28"/>
        </w:rPr>
        <w:t>Sources</w:t>
      </w:r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1.</w:t>
        <w:tab/>
      </w:r>
      <w:hyperlink r:id="rId12">
        <w:r>
          <w:rPr>
            <w:color w:val="2A78D6"/>
            <w:sz w:val="17"/>
          </w:rPr>
          <w:t xml:space="preserve">Bigbank - Reporting page, Moody's ratings, 2026-10-22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2.</w:t>
        <w:tab/>
      </w:r>
      <w:hyperlink r:id="rId13">
        <w:r>
          <w:rPr>
            <w:color w:val="2A78D6"/>
            <w:sz w:val="17"/>
          </w:rPr>
          <w:t xml:space="preserve">Bigbank - Investor relations (calendar), 2026-10-22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3.</w:t>
        <w:tab/>
      </w:r>
      <w:hyperlink r:id="rId14">
        <w:r>
          <w:rPr>
            <w:color w:val="2A78D6"/>
            <w:sz w:val="17"/>
          </w:rPr>
          <w:t xml:space="preserve">Bigbank - Interim report Q3 2026 (unaudited, ET), p. 7, 2026-10-22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4.</w:t>
        <w:tab/>
      </w:r>
      <w:hyperlink r:id="rId15">
        <w:r>
          <w:rPr>
            <w:color w:val="2A78D6"/>
            <w:sz w:val="17"/>
          </w:rPr>
          <w:t xml:space="preserve">Bigbank - Q3 2026 results blog, 2026-10-22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5.</w:t>
        <w:tab/>
      </w:r>
      <w:hyperlink r:id="rId16">
        <w:r>
          <w:rPr>
            <w:color w:val="2A78D6"/>
            <w:sz w:val="17"/>
          </w:rPr>
          <w:t xml:space="preserve">Bigbank - Interim report Q3 2026 (unaudited, ET), p. 10, 2026-10-22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6.</w:t>
        <w:tab/>
      </w:r>
      <w:hyperlink r:id="rId17">
        <w:r>
          <w:rPr>
            <w:color w:val="2A78D6"/>
            <w:sz w:val="17"/>
          </w:rPr>
          <w:t xml:space="preserve">Bigbank - AT1 August 2023 bond page and Final Terms, 2026-10-22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7.</w:t>
        <w:tab/>
      </w:r>
      <w:hyperlink r:id="rId14">
        <w:r>
          <w:rPr>
            <w:color w:val="2A78D6"/>
            <w:sz w:val="17"/>
          </w:rPr>
          <w:t xml:space="preserve">Bigbank - Interim report Q3 2026 (unaudited, ET), p. 7, 11, 2026-10-22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8.</w:t>
        <w:tab/>
      </w:r>
      <w:hyperlink r:id="rId14">
        <w:r>
          <w:rPr>
            <w:color w:val="2A78D6"/>
            <w:sz w:val="17"/>
          </w:rPr>
          <w:t xml:space="preserve">Bigbank - Interim report Q3 2026 (unaudited, ET), p. 7, 10, 2026-10-22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9.</w:t>
        <w:tab/>
      </w:r>
      <w:hyperlink r:id="rId18">
        <w:r>
          <w:rPr>
            <w:color w:val="2A78D6"/>
            <w:sz w:val="17"/>
          </w:rPr>
          <w:t xml:space="preserve">Bigbank - Interim report Q3 2026 (unaudited, ET), p. 5, 2026-10-22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10.</w:t>
        <w:tab/>
      </w:r>
      <w:hyperlink r:id="rId19">
        <w:r>
          <w:rPr>
            <w:color w:val="2A78D6"/>
            <w:sz w:val="17"/>
          </w:rPr>
          <w:t xml:space="preserve">Bigbank - Annual report 2025 incl. sustainability report (audited, ET), p. 15, 2026-02-27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11.</w:t>
        <w:tab/>
      </w:r>
      <w:hyperlink r:id="rId20">
        <w:r>
          <w:rPr>
            <w:color w:val="2A78D6"/>
            <w:sz w:val="17"/>
          </w:rPr>
          <w:t xml:space="preserve">Bigbank - Annual report 2025 incl. sustainability report (audited, ET), p. 18, 2026-02-27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12.</w:t>
        <w:tab/>
      </w:r>
      <w:hyperlink r:id="rId21">
        <w:r>
          <w:rPr>
            <w:color w:val="2A78D6"/>
            <w:sz w:val="17"/>
          </w:rPr>
          <w:t xml:space="preserve">Bigbank - Annual report 2025 incl. sustainability report (audited, ET), p. 19, 2026-02-27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13.</w:t>
        <w:tab/>
      </w:r>
      <w:hyperlink r:id="rId22">
        <w:r>
          <w:rPr>
            <w:color w:val="2A78D6"/>
            <w:sz w:val="17"/>
          </w:rPr>
          <w:t xml:space="preserve">Bigbank - Interim report Q3 2026 (unaudited, ET), p. 11, 2026-10-22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14.</w:t>
        <w:tab/>
      </w:r>
      <w:hyperlink r:id="rId23">
        <w:r>
          <w:rPr>
            <w:color w:val="2A78D6"/>
            <w:sz w:val="17"/>
          </w:rPr>
          <w:t xml:space="preserve">Bigbank - Interim report Q3 2026 (unaudited, ET), p. 18, 2026-10-22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15.</w:t>
        <w:tab/>
      </w:r>
      <w:hyperlink r:id="rId24">
        <w:r>
          <w:rPr>
            <w:color w:val="2A78D6"/>
            <w:sz w:val="17"/>
          </w:rPr>
          <w:t xml:space="preserve">Bigbank - Interim report Q3 2026 (unaudited, ET), p. 14, 2026-10-22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16.</w:t>
        <w:tab/>
      </w:r>
      <w:hyperlink r:id="rId20">
        <w:r>
          <w:rPr>
            <w:color w:val="2A78D6"/>
            <w:sz w:val="17"/>
          </w:rPr>
          <w:t xml:space="preserve">Bigbank - Annual report 2025 incl. sustainability report (audited, ET), p. 18-19, 2026-02-27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17.</w:t>
        <w:tab/>
      </w:r>
      <w:hyperlink r:id="rId26">
        <w:r>
          <w:rPr>
            <w:color w:val="2A78D6"/>
            <w:sz w:val="17"/>
          </w:rPr>
          <w:t xml:space="preserve">Bigbank - Annual report 2025 incl. sustainability report (audited, ET), p. 13, 2026-02-27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18.</w:t>
        <w:tab/>
      </w:r>
      <w:hyperlink r:id="rId27">
        <w:r>
          <w:rPr>
            <w:color w:val="2A78D6"/>
            <w:sz w:val="17"/>
          </w:rPr>
          <w:t xml:space="preserve">Bigbank - Interim report Q3 2026 (unaudited, ET), p. 13, 2026-10-22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19.</w:t>
        <w:tab/>
      </w:r>
      <w:hyperlink r:id="rId28">
        <w:r>
          <w:rPr>
            <w:color w:val="2A78D6"/>
            <w:sz w:val="17"/>
          </w:rPr>
          <w:t xml:space="preserve">Bigbank - Terms and Conditions of AT1 Temporary Write-Down Notes (August 2023) (6(e)), 2023-08-09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20.</w:t>
        <w:tab/>
      </w:r>
      <w:hyperlink r:id="rId28">
        <w:r>
          <w:rPr>
            <w:color w:val="2A78D6"/>
            <w:sz w:val="17"/>
          </w:rPr>
          <w:t xml:space="preserve">Bigbank - Terms and Conditions of AT1 Temporary Write-Down Notes (August 2023) (5(2), 7), 2023-08-09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21.</w:t>
        <w:tab/>
      </w:r>
      <w:hyperlink r:id="rId28">
        <w:r>
          <w:rPr>
            <w:color w:val="2A78D6"/>
            <w:sz w:val="17"/>
          </w:rPr>
          <w:t xml:space="preserve">Bigbank - Terms and Conditions of AT1 Temporary Write-Down Notes (August 2023) (4), 2023-08-09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22.</w:t>
        <w:tab/>
      </w:r>
      <w:hyperlink r:id="rId18">
        <w:r>
          <w:rPr>
            <w:color w:val="2A78D6"/>
            <w:sz w:val="17"/>
          </w:rPr>
          <w:t xml:space="preserve">Bigbank - Interim report Q3 2026 (unaudited, ET), p. 5, 7, 2026-10-22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23.</w:t>
        <w:tab/>
      </w:r>
      <w:hyperlink r:id="rId29">
        <w:r>
          <w:rPr>
            <w:color w:val="2A78D6"/>
            <w:sz w:val="17"/>
          </w:rPr>
          <w:t xml:space="preserve">Bigbank - Interim report Q3 2026 (unaudited, ET), p. 6, 2026-10-22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24.</w:t>
        <w:tab/>
      </w:r>
      <w:hyperlink r:id="rId32">
        <w:r>
          <w:rPr>
            <w:color w:val="2A78D6"/>
            <w:sz w:val="17"/>
          </w:rPr>
          <w:t xml:space="preserve">OFAC Sanctions List Search (US Treasury)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25.</w:t>
        <w:tab/>
      </w:r>
      <w:hyperlink r:id="rId33">
        <w:r>
          <w:rPr>
            <w:color w:val="2A78D6"/>
            <w:sz w:val="17"/>
          </w:rPr>
          <w:t xml:space="preserve">EU Sanctions Map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26.</w:t>
        <w:tab/>
      </w:r>
      <w:hyperlink r:id="rId34">
        <w:r>
          <w:rPr>
            <w:color w:val="2A78D6"/>
            <w:sz w:val="17"/>
          </w:rPr>
          <w:t xml:space="preserve">Finantsinspektsioon - precept to Bigbank AS, 2024-03-04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27.</w:t>
        <w:tab/>
      </w:r>
      <w:hyperlink r:id="rId35">
        <w:r>
          <w:rPr>
            <w:color w:val="2A78D6"/>
            <w:sz w:val="17"/>
          </w:rPr>
          <w:t xml:space="preserve">Bigbank - Annual report 2025 incl. sustainability report (audited, ET), p. 40, 2026-02-27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28.</w:t>
        <w:tab/>
      </w:r>
      <w:hyperlink r:id="rId35">
        <w:r>
          <w:rPr>
            <w:color w:val="2A78D6"/>
            <w:sz w:val="17"/>
          </w:rPr>
          <w:t xml:space="preserve">Bigbank - Annual report 2025 incl. sustainability report (audited, ET), p. 40, 222, 2026-02-27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29.</w:t>
        <w:tab/>
      </w:r>
      <w:hyperlink r:id="rId36">
        <w:r>
          <w:rPr>
            <w:color w:val="2A78D6"/>
            <w:sz w:val="17"/>
          </w:rPr>
          <w:t xml:space="preserve">SEB Policy on Sustainability Considerations in Investments (2026-04-15), 2026-04-15</w:t>
        </w:r>
      </w:hyperlink>
    </w:p>
    <w:p>
      <w:pPr>
        <w:spacing w:before="40" w:after="60"/>
      </w:pPr>
      <w:r>
        <w:rPr>
          <w:b w:val="0"/>
          <w:color w:val="667085"/>
          <w:sz w:val="16"/>
        </w:rPr>
        <w:t>Report prepared from public sources. Figures are as published by the issuer; small numbers next to the text point to the source list.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pgSz w:w="11906" w:h="16838"/>
      <w:pgMar w:top="1020" w:right="1134" w:bottom="1020" w:left="1134" w:header="510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single" w:sz="4" w:color="D5DCE4" w:space="4"/>
      </w:pBdr>
      <w:tabs>
        <w:tab w:pos="9638" w:val="right"/>
      </w:tabs>
    </w:pPr>
    <w:r>
      <w:rPr>
        <w:b w:val="0"/>
        <w:color w:val="667085"/>
        <w:sz w:val="16"/>
      </w:rPr>
      <w:t>Bigbank · 9M2026 · 2026-10-22</w:t>
      <w:tab/>
    </w:r>
    <w:r>
      <w:rPr>
        <w:b/>
        <w:color w:val="12355B"/>
        <w:sz w:val="16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single" w:sz="4" w:color="D5DCE4" w:space="4"/>
      </w:pBdr>
      <w:tabs>
        <w:tab w:pos="9638" w:val="right"/>
      </w:tabs>
    </w:pPr>
    <w:r>
      <w:rPr>
        <w:b w:val="0"/>
        <w:color w:val="667085"/>
        <w:sz w:val="16"/>
      </w:rPr>
      <w:t>Bigbank · 9M2026 · 2026-10-22</w:t>
      <w:tab/>
    </w:r>
    <w:r>
      <w:rPr>
        <w:b/>
        <w:color w:val="12355B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bottom w:val="single" w:sz="4" w:color="D5DCE4" w:space="4"/>
      </w:pBdr>
      <w:tabs>
        <w:tab w:pos="9638" w:val="right"/>
      </w:tabs>
    </w:pPr>
    <w:r>
      <w:rPr>
        <w:b/>
        <w:color w:val="12355B"/>
        <w:sz w:val="16"/>
      </w:rPr>
      <w:t>Bigbank</w:t>
    </w:r>
    <w:r>
      <w:rPr>
        <w:b w:val="0"/>
        <w:color w:val="667085"/>
        <w:sz w:val="16"/>
      </w:rPr>
      <w:tab/>
      <w:t>Issuer review · 9M2026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Calibri" w:hAnsi="Calibri" w:eastAsia="Calibri"/>
      <w:color w:val="1B243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hyperlink" Target="https://investor.bigbank.eu/et/reporting/" TargetMode="External"/><Relationship Id="rId13" Type="http://schemas.openxmlformats.org/officeDocument/2006/relationships/hyperlink" Target="https://investor.bigbank.eu/et" TargetMode="External"/><Relationship Id="rId14" Type="http://schemas.openxmlformats.org/officeDocument/2006/relationships/hyperlink" Target="https://static.bigbank.eu/investor/assets/2026/10/Bigbank_vahearuanne_kv3_2026.pdf#page=7" TargetMode="External"/><Relationship Id="rId15" Type="http://schemas.openxmlformats.org/officeDocument/2006/relationships/hyperlink" Target="https://www.bigbank.ee/blogi/bigbanki-2026-aasta-kolmanda-kvartali-majandustulemused/" TargetMode="External"/><Relationship Id="rId16" Type="http://schemas.openxmlformats.org/officeDocument/2006/relationships/hyperlink" Target="https://static.bigbank.eu/investor/assets/2026/10/Bigbank_vahearuanne_kv3_2026.pdf#page=10" TargetMode="External"/><Relationship Id="rId17" Type="http://schemas.openxmlformats.org/officeDocument/2006/relationships/hyperlink" Target="https://investor.bigbank.eu/et/allutatud-volakirjad/?bond=at1-august-2023" TargetMode="External"/><Relationship Id="rId18" Type="http://schemas.openxmlformats.org/officeDocument/2006/relationships/hyperlink" Target="https://static.bigbank.eu/investor/assets/2026/10/Bigbank_vahearuanne_kv3_2026.pdf#page=5" TargetMode="External"/><Relationship Id="rId19" Type="http://schemas.openxmlformats.org/officeDocument/2006/relationships/hyperlink" Target="https://static.bigbank.eu/investor/assets/2026/02/Bigbank_aastaaruanne_2025.pdf#page=15" TargetMode="External"/><Relationship Id="rId20" Type="http://schemas.openxmlformats.org/officeDocument/2006/relationships/hyperlink" Target="https://static.bigbank.eu/investor/assets/2026/02/Bigbank_aastaaruanne_2025.pdf#page=18" TargetMode="External"/><Relationship Id="rId21" Type="http://schemas.openxmlformats.org/officeDocument/2006/relationships/hyperlink" Target="https://static.bigbank.eu/investor/assets/2026/02/Bigbank_aastaaruanne_2025.pdf#page=19" TargetMode="External"/><Relationship Id="rId22" Type="http://schemas.openxmlformats.org/officeDocument/2006/relationships/hyperlink" Target="https://static.bigbank.eu/investor/assets/2026/10/Bigbank_vahearuanne_kv3_2026.pdf#page=11" TargetMode="External"/><Relationship Id="rId23" Type="http://schemas.openxmlformats.org/officeDocument/2006/relationships/hyperlink" Target="https://static.bigbank.eu/investor/assets/2026/10/Bigbank_vahearuanne_kv3_2026.pdf#page=18" TargetMode="External"/><Relationship Id="rId24" Type="http://schemas.openxmlformats.org/officeDocument/2006/relationships/hyperlink" Target="https://static.bigbank.eu/investor/assets/2026/10/Bigbank_vahearuanne_kv3_2026.pdf#page=14" TargetMode="External"/><Relationship Id="rId25" Type="http://schemas.openxmlformats.org/officeDocument/2006/relationships/image" Target="media/image1.png"/><Relationship Id="rId26" Type="http://schemas.openxmlformats.org/officeDocument/2006/relationships/hyperlink" Target="https://static.bigbank.eu/investor/assets/2026/02/Bigbank_aastaaruanne_2025.pdf#page=13" TargetMode="External"/><Relationship Id="rId27" Type="http://schemas.openxmlformats.org/officeDocument/2006/relationships/hyperlink" Target="https://static.bigbank.eu/investor/assets/2026/10/Bigbank_vahearuanne_kv3_2026.pdf#page=13" TargetMode="External"/><Relationship Id="rId28" Type="http://schemas.openxmlformats.org/officeDocument/2006/relationships/hyperlink" Target="https://static.bigbank.eu/investor/assets/2023/09/Terms-and-Conditions-of-Bigbank-AT1-Temporary-Write-Down-Notes-August-2023-2.pdf" TargetMode="External"/><Relationship Id="rId29" Type="http://schemas.openxmlformats.org/officeDocument/2006/relationships/hyperlink" Target="https://static.bigbank.eu/investor/assets/2026/10/Bigbank_vahearuanne_kv3_2026.pdf#page=6" TargetMode="External"/><Relationship Id="rId30" Type="http://schemas.openxmlformats.org/officeDocument/2006/relationships/hyperlink" Target="https://news.google.com/rss/articles/CBMilAFBVV95cUxNM1BXV2xRT1BFZ0J3b29QSTcycTNsUUNvdGFCVnY1dVp1MUkwcjlFRnc4YnZ2enFqTFlSb09FdXBCeU1TeFBBYjExejkyczB6OXNidVg4enp1N20xWXVna0xlMG5tVk5TVld4TzNuOUxOendHQzhmZkdxMWJHMEtxYjFCR3Q1RHVzZjZ1X3hHbkh0VVJ0?oc=5" TargetMode="External"/><Relationship Id="rId31" Type="http://schemas.openxmlformats.org/officeDocument/2006/relationships/hyperlink" Target="https://news.google.com/rss/articles/CBMingFBVV95cUxQR0IxZjFIMzg4OVBJekxsVTRRT180MjlRcHgxXzJJSlBNNEFma1U4QTVWWWlqaGttY0VQOFBSTVNGYUlWbDJXWlNyMk9PM2JKakpIMS1KZ3lhcThVZHBYUFFrSkl2ZEoyYnoxMndTNFljQTJTa3lid2pJMWpaUnN3WTVHUFRXWWJ3LWtlclhOOTZzRTlQM0N6V0JWY04wQQ?oc=5" TargetMode="External"/><Relationship Id="rId32" Type="http://schemas.openxmlformats.org/officeDocument/2006/relationships/hyperlink" Target="https://sanctionssearch.ofac.treas.gov/" TargetMode="External"/><Relationship Id="rId33" Type="http://schemas.openxmlformats.org/officeDocument/2006/relationships/hyperlink" Target="https://www.sanctionsmap.eu/#/main" TargetMode="External"/><Relationship Id="rId34" Type="http://schemas.openxmlformats.org/officeDocument/2006/relationships/hyperlink" Target="https://fi.ee/en/news/finantsinspektsioon-issued-precept-bigbank" TargetMode="External"/><Relationship Id="rId35" Type="http://schemas.openxmlformats.org/officeDocument/2006/relationships/hyperlink" Target="https://static.bigbank.eu/investor/assets/2026/02/Bigbank_aastaaruanne_2025.pdf#page=40" TargetMode="External"/><Relationship Id="rId36" Type="http://schemas.openxmlformats.org/officeDocument/2006/relationships/hyperlink" Target="https://sebgroup.com/sustainability/our-sustainability-strategy/polici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