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Coop Pank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Bank (retail and SME banking in Estonia)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Coop Pank 12% AT1 notes (2023)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EE3300003649  ·  12%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9M profit EUR 25.6m (+19%, own calculation),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CET1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14.75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19.86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213.29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own calculation),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9M2026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 and Euribor:</w:t>
      </w:r>
      <w:r>
        <w:rPr>
          <w:b w:val="0"/>
        </w:rPr>
        <w:t xml:space="preserve"> Q3 profit EUR 9.1m (+30% y/y) on higher lending volumes, good portfolio quality and rising Euribor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; NIM 3.2% (3.0% a year earlier)</w:t>
      </w:r>
      <w:hyperlink r:id="rId13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Funding and risk:</w:t>
      </w:r>
      <w:r>
        <w:rPr>
          <w:b w:val="0"/>
        </w:rPr>
        <w:t xml:space="preserve"> cost of funding 2.1% (2.3%), deposits +EUR 131m in the quarter; impairments EUR 0.4m, overdue loans 2% (2.3%)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Targets:</w:t>
      </w:r>
      <w:r>
        <w:rPr>
          <w:b w:val="0"/>
        </w:rPr>
        <w:t xml:space="preserve"> more than EUR 60m annual profit by 2030 and faster growth than the Estonian banking market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EE), 2026-07-29 – 2026-10-27: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B2430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667085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667085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B2430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667085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667085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2026-10-27).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2026-07-29 – 2026-10-27: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Coop Pank - Interim report 9M 2026 (unaudited), p. 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9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40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Coop Pank · 9M2026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Coop Pank</w:t>
    </w:r>
    <w:r>
      <w:rPr>
        <w:b w:val="0"/>
        <w:color w:val="667085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res30f.cooppank.ee/image/upload/investor_lehed/aruandlus/ENG/2026/Interim_report_9m_2026_EN.pdf#page=3" TargetMode="External"/><Relationship Id="rId29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30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1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2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3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4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5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6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7" Type="http://schemas.openxmlformats.org/officeDocument/2006/relationships/hyperlink" Target="https://sanctionssearch.ofac.treas.gov/" TargetMode="External"/><Relationship Id="rId38" Type="http://schemas.openxmlformats.org/officeDocument/2006/relationships/hyperlink" Target="https://www.sanctionsmap.eu/#/main" TargetMode="External"/><Relationship Id="rId39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40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