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(Baltic universal bank; EE, LV, LT)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3.551%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4.042%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7.375%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fell about a fifth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7.75% bond XS2633112565 was redeemed in June 2026 and is no longer outstanding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37.4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19.0 %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0.9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23.7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19.6%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9.9%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187.0%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142.3%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2.1%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to customers EUR 11,903.2m (+3.6% since YE2025), deposits EUR 12,275.5m (+6.6%; changes are own calculation)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income 1H EUR 214.4m; net interest margin 2.70% (2025: 2.71%)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74.0m of dividends for 2025 paid in 1H 2026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500m SNP issued in 1H 2026; Moody's affirmed the rating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 for Q4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to OTP Bank (100%) announced 2026-07-20, approvals pending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Rates and competition:</w:t>
      </w:r>
      <w:r>
        <w:rPr>
          <w:b w:val="0"/>
        </w:rPr>
        <w:t xml:space="preserve"> net interest income +1.6% to EUR 111.2m on higher balances and deposit spreads as reference rates rose, offset by lower lending spreads due to competition; NIM 2.75% (2.95%)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Costs:</w:t>
      </w:r>
      <w:r>
        <w:rPr>
          <w:b w:val="0"/>
        </w:rPr>
        <w:t xml:space="preserve"> expenses +3.2% to EUR 90.5m, of which migration costs EUR 20.3m; personnel costs +16.6% from insourcing and hiring developers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Most sector-specific taxes lapsed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a positive outlook for the Baltics and plans a EUR 200m CET1 capital reduction in Q4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deal:</w:t>
      </w:r>
      <w:r>
        <w:rPr>
          <w:b w:val="0"/>
        </w:rPr>
        <w:t xml:space="preserve"> on 2026-10-13 the European Commission cleared OTP Bank's acquisition of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Attention – buyer's Russia links:</w:t>
      </w:r>
      <w:r>
        <w:rPr>
          <w:b w:val="0"/>
        </w:rPr>
        <w:t xml:space="preserve"> on 2026-09-28/29 the press (citing Bloomberg) reported that OTP's clients include companies linked to Gazprom and that OTP is considering a full exit from Russia. This concerns the buyer OTP, not Luminor's own business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2026-09-26 Latvian media reported that Luminor Bank is cancelling bonds worth EUR 500m; the headline does not name the issue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2026-07-29 – 2026-10-27: 40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Luminor acquisition cleared for OTP Bank: target for OTP Bank stock is HUF 48,514.23</w:t>
              </w:r>
            </w:hyperlink>
            <w:r>
              <w:rPr>
                <w:b w:val="0"/>
                <w:color w:val="667085"/>
                <w:sz w:val="15"/>
              </w:rPr>
              <w:t xml:space="preserve">   ad-hoc-news.de  ·  8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Hungary’s OTP Bank weighs Russia exit amid Luminor purchase – report</w:t>
              </w:r>
            </w:hyperlink>
            <w:r>
              <w:rPr>
                <w:b w:val="0"/>
                <w:color w:val="667085"/>
                <w:sz w:val="15"/>
              </w:rPr>
              <w:t xml:space="preserve">   Retail Banker International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„Luminor“ bankas informuoja apie darbo laiko pokyčius Vėlinių laikotarpiu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Latvia's President and PM comment on potential Luminor sale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is growing (EUR 305.4m in 2025)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AML fines reported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regulatory note in 2025 was a Finantsinspektsioon precept on basic payment service procedures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Oy – a Finnish logistics company linked to Siberica Oy (per the EU list entry for Gabriel Temin), not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Namesake on the lists: Luminor Logistics – an alias in the same US OFAC entry group as Luminor Oy and Siberica Oy (logistics), not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Luminor itself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the OTP Bank deal.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On 2026-09-28/29 the press wrote about links of the buyer OTP's clients to Russia – this concerns the buyer, not Luminor's business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40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energy lending EUR 305.4m in 2025 (EUR 182.4m in 2024), target EUR 700m by 2030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to become climate neutral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measured with the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or sustainability-linked bonds 7.4% of the bond portfolio, target 50%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Ownership will move to OTP Bank (Hungary) once approvals are received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breach of governance or international norms found (quick search,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disclosed using PCAF (Scope 3 3.2m t CO2e in 2025)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real estate and renewable lending EUR 305.4m, target EUR 700m by 2030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 (low risk)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commitment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compliance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Anti-bribery measures and whistleblowing channels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public lending exclusion list (coal, oil &amp; gas, weapons) or UN Global Compact membership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capital, liquidity and ESG practices are solid.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(Scope 3) 3.2m t CO2e in 2025, PCAF method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Supervisory Council 33.3% (target 40%)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risk rating 18.4, low risk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Solid ESG practice: financed emissions measured (PCAF), climate-neutrality target, growing green lending and a low ESG risk rating. Ownership moves to OTP Bank.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5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6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9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0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1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2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3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Issuer review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3wFBVV95cUxNanN2NUdqb0phYjB0ZV83dF9HOWQ3NXJxcjd4eVBmeEJ3VWJvUXhWbktZbWNqYUJmZ0dFWEZPQktucmhsZ0xRTjk1MVFqU2pTOVlGdXZ4S3hZbXhCRnhZMnk1Z2NqSl9JdHkzVlh3MVFKcWg3TjFXbXBSR2lneEgtOW82SXBEd09qc2NHWVgxWjd4ODc4LTFBSW93ZmlUbV9ORmpSZXZFOUUtYW5Qa2Q4OGZYTEhIc181TkNoREdtSkxkNU9wQXlncmtqLVlDdFY1V1JFaGdXMkhjQXktU1Mw?oc=5" TargetMode="External"/><Relationship Id="rId39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0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1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2" Type="http://schemas.openxmlformats.org/officeDocument/2006/relationships/hyperlink" Target="https://news.google.com/rss/articles/CBMizwFBVV95cUxNUUZrdlI2X3FwNXZPYXo0azYxb0NZei02RVd3c2FuTXhtYV9NRzhZdmp5d2ZydWpzbU83WHozWlNjM09OTVltbkJrUU45ZE5oUWNyMHV1SUVDczNwbmpIWHRfVUVhUEhnSWJCNXVuLXF6UGlXYWt2ZEpkcFdscEV4UkpsSmNZalFtNjA0aVVUbTE4SWUwWVN5TjBLNUxWdTllckJsVHJTbDFlVkdhbTNPcURfTWxNOW5WWDV4Q1RUMlFQU1NlSTJFVFlRTU82UFU?oc=5" TargetMode="External"/><Relationship Id="rId43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4" Type="http://schemas.openxmlformats.org/officeDocument/2006/relationships/hyperlink" Target="https://news.google.com/rss/articles/CBMiuwFBVV95cUxOcW56eklqVGkzRmdHNUU1QU12TDh2X21tSVp3Tk5PVHEwMHZRTExVMTAxZ1o4OUpwU0ZvUUxpT3JfdlBRNlVlYVh1TDBuTmZ4Z2YtTktyV2FkSGZSa2o3S1pKWllaaXFaNUlPS3loMXBuUmUxWnZlb2t6NGZSZFVBSDFBZXJRcndxN20wMXVreXhCc25hdGRFLTJ6TjZmcFJ1cXQ3NkxibTEybGN4ci0wN0h0d2RTMVFZRG9N?oc=5" TargetMode="External"/><Relationship Id="rId45" Type="http://schemas.openxmlformats.org/officeDocument/2006/relationships/hyperlink" Target="https://luminor.lv/sites/default/files/docs/finansu_parskati/luminor_bank_annual_report_2025-lv.pdf#page=19" TargetMode="External"/><Relationship Id="rId46" Type="http://schemas.openxmlformats.org/officeDocument/2006/relationships/hyperlink" Target="https://luminor.lv/sites/default/files/docs/finansu_parskati/luminor_bank_annual_report_2025-lv.pdf#page=16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luminor.lv/sites/default/files/docs/finansu_parskati/luminor_bank_annual_report_2025-lv.pdf#page=22" TargetMode="External"/><Relationship Id="rId50" Type="http://schemas.openxmlformats.org/officeDocument/2006/relationships/hyperlink" Target="https://sebgroup.com/sustainability/our-sustainability-strategy/policies" TargetMode="External"/><Relationship Id="rId51" Type="http://schemas.openxmlformats.org/officeDocument/2006/relationships/hyperlink" Target="https://luminor.lv/sites/default/files/docs/finansu_parskati/luminor_bank_annual_report_2025-lv.pdf#page=18" TargetMode="External"/><Relationship Id="rId52" Type="http://schemas.openxmlformats.org/officeDocument/2006/relationships/hyperlink" Target="https://luminor.lv/sites/default/files/docs/finansu_parskati/luminor_bank_annual_report_2025-lv.pdf#page=23" TargetMode="External"/><Relationship Id="rId53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