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Food retail (Lithuania, Latvia, Estonia; e-grocery Barbora)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4.75%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Maxima is the largest Baltic food retailer, rated BB+ (stable) by S&amp;P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169.9m, net debt / EBITDA 2.0x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To watch: large payouts to the shareholder cut equity to EUR 147m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a competition investigation is under way in Latvia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2,026.4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43.9 %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up, profitability stable:</w:t>
      </w:r>
      <w:r>
        <w:rPr>
          <w:b w:val="0"/>
        </w:rPr>
        <w:t xml:space="preserve"> 1H revenue EUR 2,026m (+2.8%, own calculation), EBITDA EUR 169.9m (169.2m), net profit EUR 85.7m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Baltics only:</w:t>
      </w:r>
      <w:r>
        <w:rPr>
          <w:b w:val="0"/>
        </w:rPr>
        <w:t xml:space="preserve"> the Polish and Bulgarian businesses were sold in December 2025; 498 stores in Lithuania, Latvia and Estonia plus Barbora remain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Large payouts to the shareholder:</w:t>
      </w:r>
      <w:r>
        <w:rPr>
          <w:b w:val="0"/>
        </w:rPr>
        <w:t xml:space="preserve"> EUR 423.9m of dividends in 2025, and in 1H 2026 EUR 101.0m of dividends plus a EUR 100m capital reduction; equity fell from EUR 572.9m to EUR 147.4m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debt:</w:t>
      </w:r>
      <w:r>
        <w:rPr>
          <w:b w:val="0"/>
        </w:rPr>
        <w:t xml:space="preserve"> net debt (incl. leases) EUR 764.5m, 2.0x EBITDA (end-2025: EUR 557.1m, 1.5x)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2,026.4*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169.9*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208.7ᶜ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55.0 %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32.7 %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557.1*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764.5*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37.2 %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147.4*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43.9 %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15.2%ᶜ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8.4%ᶜ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6.8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1,725.7*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1,763.8*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2.2 %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Strategy is price leadership in the Baltics:</w:t>
      </w:r>
      <w:r>
        <w:rPr>
          <w:b w:val="0"/>
        </w:rPr>
        <w:t xml:space="preserve"> 1H price cuts on 9,000 products in Lithuania and 4,000 in Latvia; more than 80 stores to be opened or expanded by 2030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Latvian property company Irbis A was bought on 2026-05-31 (EUR 16.9m); SOLLO was sold on 2026-08-31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(continuing operations) revenue EUR 4,070m, EBITDA EUR 375m, margin 9.2%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Cash EUR 256.3m at 2026-06-30; bank loans EUR 259.3m (EUR 260m SEB/ING bridge loan, plus EUR 40m Swedbank and EUR 40m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Focus on the Baltics by selling Poland and Bulgaria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 on 2025-12-19 and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short-term loan with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350m of bonds issued in May 2026; most of the proceeds repay the loan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Cut Scope 1 and 2 emissions by 42%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Down 24.5% by end-2025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Open or expand &gt;80 stores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4.750% unsecured notes, EUR 350m, issued 2026-05-19, maturing 2031-05-19, annual coupon; Nasdaq Vilnius and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Leverage:</w:t>
      </w:r>
      <w:r>
        <w:rPr>
          <w:b w:val="0"/>
        </w:rPr>
        <w:t xml:space="preserve"> net debt / EBITDA 2.0x – moderate; cash of EUR 256m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No other bonds – the 2022 6.25% bonds were redeemed early on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large payouts to the shareholder reduce the capital buffer; no dividend policy found. Call terms and covenants were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stable business and a BB+ rating, but the shareholder takes out a lot of cash.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Price cuts and costs:</w:t>
      </w:r>
      <w:r>
        <w:rPr>
          <w:b w:val="0"/>
        </w:rPr>
        <w:t xml:space="preserve"> revenue +2.8% to EUR 2.03bn (like-for-like +2.1%), ahead of Baltic food inflation (about 2%)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Regular prices were cut on 9,000 products in Lithuania and 4,000 in Latvia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Margin:</w:t>
      </w:r>
      <w:r>
        <w:rPr>
          <w:b w:val="0"/>
        </w:rPr>
        <w:t xml:space="preserve"> EBITDA EUR 169.9m (+0.7m), margin 8.4% (-0.2 pp) mainly due to rising wage, energy and fuel costs, offset by efficiency gains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By country:</w:t>
      </w:r>
      <w:r>
        <w:rPr>
          <w:b w:val="0"/>
        </w:rPr>
        <w:t xml:space="preserve"> Lithuania +4.6%, Latvia +0.6%, Estonia +1.3%, Barbora +0.4%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Real estate:</w:t>
      </w:r>
      <w:r>
        <w:rPr>
          <w:b w:val="0"/>
        </w:rPr>
        <w:t xml:space="preserve"> on 2026-10-09 Maxima LT bought a building and plot in Vilnius for EUR 5.5m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EE, LT, LV), 2026-07-29 – 2026-10-27: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Food retail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LLC – an alias in an EU-list entry for a different company (linked to Dalpribor), not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Maxima Legal LLC – an alias in the same EU-list entry, not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2025-11-06 the Latvian Competition Council fined Maxima Latvija more than EUR 1.8m for unfair trading practices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disagrees and appeals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2026-02-26 the Council took procedural actions at Maxima Latvija's office over a suspected cartel between the two largest retailers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investigation is ongoing, no fine yet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37.1% (2025), 85% of waste diverted from landfill, food donations to food banks (EUR 6.3m)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cut Scope 1 and 2 emissions by 42% by 2030 (vs 2021)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24.5% achieved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Latvian competition fine and cartel investigation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 (food trading)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in the annual report, an emission reduction target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competition matters are being handled in court and in the investigation.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Emissions, renewable energy share and waste figures are reported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competition law matters in Latvia.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