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Bdr>
          <w:top w:val="single" w:sz="24" w:color="12355B" w:space="0"/>
        </w:pBdr>
        <w:spacing w:before="0" w:after="200" w:line="120" w:lineRule="auto"/>
      </w:pPr>
    </w:p>
    <w:tbl>
      <w:tblPr>
        <w:tblW w:w="9639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  <w:tblLook w:firstColumn="1" w:firstRow="1" w:lastColumn="0" w:lastRow="0" w:noHBand="0" w:noVBand="1" w:val="04A0"/>
      </w:tblPr>
      <w:tblGrid>
        <w:gridCol w:w="7030"/>
        <w:gridCol w:w="2608"/>
      </w:tblGrid>
      <w:tr>
        <w:tc>
          <w:tcPr>
            <w:tcW w:type="dxa" w:w="7030"/>
          </w:tcPr>
          <w:p>
            <w:pPr>
              <w:spacing w:before="0" w:after="0"/>
            </w:pPr>
            <w:r>
              <w:rPr>
                <w:b/>
                <w:caps/>
                <w:color w:val="2A78D6"/>
                <w:sz w:val="16"/>
              </w:rPr>
              <w:t>Emitento apžvalga · 6M2026</w:t>
            </w:r>
          </w:p>
          <w:p>
            <w:pPr>
              <w:spacing w:before="40" w:after="0"/>
            </w:pPr>
            <w:r>
              <w:rPr>
                <w:b/>
                <w:color w:val="12355B"/>
                <w:sz w:val="52"/>
              </w:rPr>
              <w:t>Port of Tallinn</w:t>
            </w:r>
          </w:p>
          <w:p>
            <w:pPr>
              <w:spacing w:before="40" w:after="0"/>
            </w:pPr>
            <w:r>
              <w:rPr>
                <w:b w:val="0"/>
                <w:color w:val="667085"/>
                <w:sz w:val="18"/>
              </w:rPr>
              <w:t>Estija</w:t>
            </w:r>
          </w:p>
        </w:tc>
        <w:tc>
          <w:tcPr>
            <w:tcW w:type="dxa" w:w="2608"/>
          </w:tcPr>
          <w:p>
            <w:pPr>
              <w:spacing w:before="440" w:after="0"/>
              <w:jc w:val="right"/>
            </w:pPr>
            <w:r>
              <w:rPr>
                <w:b/>
                <w:color w:val="9A6400"/>
                <w:sz w:val="18"/>
                <w:shd w:val="clear" w:color="auto" w:fill="FDF1D8"/>
              </w:rPr>
              <w:t xml:space="preserve">  ●  STEBĖTI  </w:t>
            </w:r>
          </w:p>
        </w:tc>
      </w:tr>
    </w:tbl>
    <w:p>
      <w:pPr>
        <w:pBdr>
          <w:top w:val="single" w:sz="4" w:color="D5DCE4" w:space="0"/>
        </w:pBdr>
        <w:spacing w:before="120" w:after="200" w:line="120" w:lineRule="auto"/>
      </w:pPr>
    </w:p>
    <w:tbl>
      <w:tblPr>
        <w:tblW w:w="9639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160" w:type="dxa"/>
          <w:left w:w="220" w:type="dxa"/>
          <w:bottom w:w="160" w:type="dxa"/>
          <w:right w:w="220" w:type="dxa"/>
        </w:tblCellMar>
        <w:tblLook w:firstColumn="1" w:firstRow="1" w:lastColumn="0" w:lastRow="0" w:noHBand="0" w:noVBand="1" w:val="04A0"/>
      </w:tblPr>
      <w:tblGrid>
        <w:gridCol w:w="4819"/>
        <w:gridCol w:w="4819"/>
      </w:tblGrid>
      <w:tr>
        <w:tc>
          <w:tcPr>
            <w:tcW w:type="dxa" w:w="4819"/>
            <w:tcBorders>
              <w:top w:val="single" w:sz="12" w:color="12355B" w:space="0"/>
              <w:left w:val="nil"/>
              <w:bottom w:val="nil"/>
              <w:right w:val="nil"/>
            </w:tcBorders>
            <w:shd w:val="clear" w:color="auto" w:fill="F4F6F9"/>
          </w:tcPr>
          <w:p>
            <w:pPr>
              <w:spacing w:before="0" w:after="40"/>
            </w:pPr>
            <w:r>
              <w:rPr>
                <w:b/>
                <w:color w:val="12355B"/>
                <w:sz w:val="18"/>
              </w:rPr>
              <w:t>Pagrindinė informacija</w:t>
            </w:r>
          </w:p>
          <w:p>
            <w:pPr>
              <w:spacing w:before="80" w:after="0"/>
            </w:pPr>
            <w:r>
              <w:rPr>
                <w:b/>
                <w:caps/>
                <w:color w:val="667085"/>
                <w:sz w:val="14"/>
              </w:rPr>
              <w:t>Emitento reitingas</w:t>
            </w:r>
          </w:p>
          <w:p>
            <w:pPr>
              <w:spacing w:before="0" w:after="0"/>
            </w:pPr>
            <w:r>
              <w:rPr>
                <w:b w:val="0"/>
                <w:sz w:val="18"/>
              </w:rPr>
              <w:t>No public credit rating found</w:t>
            </w:r>
            <w:hyperlink r:id="rId12">
              <w:r>
                <w:rPr>
                  <w:color w:val="2A78D6"/>
                  <w:vertAlign w:val="superscript"/>
                  <w:sz w:val="15"/>
                </w:rPr>
                <w:t xml:space="preserve">1</w:t>
              </w:r>
            </w:hyperlink>
          </w:p>
          <w:p>
            <w:pPr>
              <w:spacing w:before="80" w:after="0"/>
            </w:pPr>
            <w:r>
              <w:rPr>
                <w:b/>
                <w:caps/>
                <w:color w:val="667085"/>
                <w:sz w:val="14"/>
              </w:rPr>
              <w:t>Analizės data</w:t>
            </w:r>
          </w:p>
          <w:p>
            <w:pPr>
              <w:spacing w:before="0" w:after="0"/>
            </w:pPr>
            <w:r>
              <w:rPr>
                <w:b w:val="0"/>
                <w:sz w:val="18"/>
              </w:rPr>
              <w:t>2026-10-22</w:t>
            </w:r>
          </w:p>
          <w:p>
            <w:pPr>
              <w:spacing w:before="80" w:after="0"/>
            </w:pPr>
            <w:r>
              <w:rPr>
                <w:b/>
                <w:caps/>
                <w:color w:val="667085"/>
                <w:sz w:val="14"/>
              </w:rPr>
              <w:t>Kita ataskaita</w:t>
            </w:r>
          </w:p>
          <w:p>
            <w:pPr>
              <w:spacing w:before="0" w:after="0"/>
            </w:pPr>
            <w:r>
              <w:rPr>
                <w:b w:val="0"/>
                <w:sz w:val="18"/>
              </w:rPr>
              <w:t>Q3 2026 results - expected November 2026</w:t>
            </w:r>
          </w:p>
          <w:p>
            <w:pPr>
              <w:spacing w:before="80" w:after="0"/>
            </w:pPr>
            <w:r>
              <w:rPr>
                <w:b/>
                <w:caps/>
                <w:color w:val="667085"/>
                <w:sz w:val="14"/>
              </w:rPr>
              <w:t>Šalis</w:t>
            </w:r>
          </w:p>
          <w:p>
            <w:pPr>
              <w:spacing w:before="0" w:after="0"/>
            </w:pPr>
            <w:r>
              <w:rPr>
                <w:b w:val="0"/>
                <w:sz w:val="18"/>
              </w:rPr>
              <w:t>Estija</w:t>
            </w:r>
          </w:p>
        </w:tc>
        <w:tc>
          <w:tcPr>
            <w:tcW w:type="dxa" w:w="4819"/>
            <w:tcBorders>
              <w:top w:val="single" w:sz="12" w:color="12355B" w:space="0"/>
              <w:left w:val="nil"/>
              <w:bottom w:val="nil"/>
              <w:right w:val="nil"/>
            </w:tcBorders>
            <w:shd w:val="clear" w:color="auto" w:fill="F4F6F9"/>
          </w:tcPr>
          <w:p>
            <w:pPr>
              <w:spacing w:before="0" w:after="40"/>
            </w:pPr>
            <w:r>
              <w:rPr>
                <w:b/>
                <w:color w:val="12355B"/>
                <w:sz w:val="18"/>
              </w:rPr>
              <w:t>Turimi vertybiniai popieriai</w:t>
            </w:r>
          </w:p>
          <w:p>
            <w:pPr>
              <w:spacing w:before="80" w:after="0"/>
            </w:pPr>
            <w:r>
              <w:rPr>
                <w:b/>
                <w:color w:val="1B2430"/>
                <w:sz w:val="17"/>
              </w:rPr>
              <w:t>AS Tallinna Sadam ordinary share (TSM1T)</w:t>
            </w:r>
          </w:p>
          <w:p>
            <w:pPr>
              <w:spacing w:before="0" w:after="0"/>
            </w:pPr>
            <w:r>
              <w:rPr>
                <w:b w:val="0"/>
                <w:color w:val="667085"/>
                <w:sz w:val="15"/>
              </w:rPr>
              <w:t>EE3100021635  ·  akcija</w:t>
            </w:r>
          </w:p>
        </w:tc>
      </w:tr>
    </w:tbl>
    <w:p>
      <w:pPr>
        <w:spacing w:before="0" w:after="120"/>
      </w:pPr>
    </w:p>
    <w:tbl>
      <w:tblPr>
        <w:tblW w:w="9639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180" w:type="dxa"/>
          <w:left w:w="260" w:type="dxa"/>
          <w:bottom w:w="200" w:type="dxa"/>
          <w:right w:w="260" w:type="dxa"/>
        </w:tblCellMar>
        <w:tblLook w:firstColumn="1" w:firstRow="1" w:lastColumn="0" w:lastRow="0" w:noHBand="0" w:noVBand="1" w:val="04A0"/>
      </w:tblPr>
      <w:tblGrid>
        <w:gridCol w:w="9639"/>
      </w:tblGrid>
      <w:tr>
        <w:tc>
          <w:tcPr>
            <w:tcW w:type="dxa" w:w="9638"/>
            <w:tcBorders>
              <w:top w:val="nil"/>
              <w:left w:val="single" w:sz="24" w:color="9A6400" w:space="0"/>
              <w:bottom w:val="nil"/>
              <w:right w:val="nil"/>
            </w:tcBorders>
            <w:shd w:val="clear" w:color="auto" w:fill="FDF1D8"/>
          </w:tcPr>
          <w:p>
            <w:pPr>
              <w:spacing w:before="0" w:after="0" w:line="276" w:lineRule="auto"/>
            </w:pPr>
            <w:r>
              <w:rPr>
                <w:b/>
                <w:color w:val="1B2430"/>
                <w:sz w:val="21"/>
              </w:rPr>
              <w:t>Verta stebėti.</w:t>
            </w:r>
            <w:r>
              <w:rPr>
                <w:b w:val="0"/>
                <w:color w:val="1B2430"/>
                <w:sz w:val="21"/>
              </w:rPr>
              <w:t xml:space="preserve"> Balansas tvirtas (grynoji skola 2,78x EBITDA, nuosavas kapitalas 59,8 % turto)</w:t>
            </w:r>
            <w:hyperlink r:id="rId13">
              <w:r>
                <w:rPr>
                  <w:color w:val="2A78D6"/>
                  <w:vertAlign w:val="superscript"/>
                  <w:sz w:val="17"/>
                </w:rPr>
                <w:t xml:space="preserve">2</w:t>
              </w:r>
            </w:hyperlink>
            <w:r>
              <w:rPr>
                <w:b w:val="0"/>
                <w:color w:val="1B2430"/>
                <w:sz w:val="21"/>
              </w:rPr>
              <w:t>. Tačiau 2026 m. 6 mėn. grynasis pelnas sumažėjo 41,7 % dėl brangesnio kuro ir remontų, todėl kitų metų dividendų bazė gali būti mažesnė</w:t>
            </w:r>
            <w:hyperlink r:id="rId13">
              <w:r>
                <w:rPr>
                  <w:color w:val="2A78D6"/>
                  <w:vertAlign w:val="superscript"/>
                  <w:sz w:val="17"/>
                </w:rPr>
                <w:t xml:space="preserve">3</w:t>
              </w:r>
            </w:hyperlink>
            <w:r>
              <w:rPr>
                <w:color w:val="2A78D6"/>
                <w:vertAlign w:val="superscript"/>
              </w:rPr>
              <w:t>,</w:t>
            </w:r>
            <w:hyperlink r:id="rId14">
              <w:r>
                <w:rPr>
                  <w:color w:val="2A78D6"/>
                  <w:vertAlign w:val="superscript"/>
                  <w:sz w:val="17"/>
                </w:rPr>
                <w:t xml:space="preserve">4</w:t>
              </w:r>
            </w:hyperlink>
            <w:r>
              <w:rPr>
                <w:b w:val="0"/>
                <w:color w:val="1B2430"/>
                <w:sz w:val="21"/>
              </w:rPr>
              <w:t>.</w:t>
            </w:r>
          </w:p>
        </w:tc>
      </w:tr>
    </w:tbl>
    <w:p>
      <w:pPr>
        <w:spacing w:before="0" w:after="120"/>
      </w:pPr>
    </w:p>
    <w:tbl>
      <w:tblPr>
        <w:tblW w:w="9639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150" w:type="dxa"/>
          <w:left w:w="170" w:type="dxa"/>
          <w:bottom w:w="150" w:type="dxa"/>
          <w:right w:w="100" w:type="dxa"/>
        </w:tblCellMar>
        <w:tblLook w:firstColumn="1" w:firstRow="1" w:lastColumn="0" w:lastRow="0" w:noHBand="0" w:noVBand="1" w:val="04A0"/>
      </w:tblPr>
      <w:tblGrid>
        <w:gridCol w:w="2260"/>
        <w:gridCol w:w="198"/>
        <w:gridCol w:w="2260"/>
        <w:gridCol w:w="198"/>
        <w:gridCol w:w="2260"/>
        <w:gridCol w:w="198"/>
        <w:gridCol w:w="2260"/>
      </w:tblGrid>
      <w:tr>
        <w:tc>
          <w:tcPr>
            <w:tcW w:type="dxa" w:w="2261"/>
            <w:tcBorders>
              <w:top w:val="single" w:sz="18" w:color="2A78D6" w:space="0"/>
              <w:left w:val="single" w:sz="4" w:color="D5DCE4" w:space="0"/>
              <w:bottom w:val="single" w:sz="4" w:color="D5DCE4" w:space="0"/>
              <w:right w:val="single" w:sz="4" w:color="D5DCE4" w:space="0"/>
            </w:tcBorders>
          </w:tcPr>
          <w:p>
            <w:pPr>
              <w:spacing w:before="0" w:after="60"/>
            </w:pPr>
            <w:r>
              <w:rPr>
                <w:b/>
                <w:caps/>
                <w:color w:val="667085"/>
                <w:sz w:val="14"/>
              </w:rPr>
              <w:t>Pajamos</w:t>
            </w:r>
            <w:r>
              <w:rPr>
                <w:b w:val="0"/>
                <w:color w:val="667085"/>
                <w:sz w:val="14"/>
              </w:rPr>
              <w:t xml:space="preserve">  ·  6M2026</w:t>
            </w:r>
          </w:p>
          <w:p>
            <w:pPr>
              <w:spacing w:before="0" w:after="20"/>
            </w:pPr>
            <w:r>
              <w:rPr>
                <w:b/>
                <w:color w:val="12355B"/>
                <w:sz w:val="34"/>
              </w:rPr>
              <w:t>59,3</w:t>
            </w:r>
            <w:r>
              <w:rPr>
                <w:b w:val="0"/>
                <w:color w:val="667085"/>
                <w:sz w:val="18"/>
              </w:rPr>
              <w:t xml:space="preserve"> mln. EUR</w:t>
            </w:r>
          </w:p>
          <w:p>
            <w:pPr>
              <w:spacing w:before="0" w:after="0"/>
            </w:pPr>
            <w:r>
              <w:rPr>
                <w:b w:val="0"/>
                <w:color w:val="667085"/>
                <w:sz w:val="15"/>
              </w:rPr>
              <w:t>▲ 2,4 % vs 6M2025</w:t>
            </w:r>
          </w:p>
        </w:tc>
        <w:tc>
          <w:tcPr>
            <w:tcW w:type="dxa" w:w="198"/>
          </w:tcPr>
          <w:p/>
        </w:tc>
        <w:tc>
          <w:tcPr>
            <w:tcW w:type="dxa" w:w="2261"/>
            <w:tcBorders>
              <w:top w:val="single" w:sz="18" w:color="2A78D6" w:space="0"/>
              <w:left w:val="single" w:sz="4" w:color="D5DCE4" w:space="0"/>
              <w:bottom w:val="single" w:sz="4" w:color="D5DCE4" w:space="0"/>
              <w:right w:val="single" w:sz="4" w:color="D5DCE4" w:space="0"/>
            </w:tcBorders>
          </w:tcPr>
          <w:p>
            <w:pPr>
              <w:spacing w:before="0" w:after="60"/>
            </w:pPr>
            <w:r>
              <w:rPr>
                <w:b/>
                <w:caps/>
                <w:color w:val="667085"/>
                <w:sz w:val="14"/>
              </w:rPr>
              <w:t>Koreguota EBITDA</w:t>
            </w:r>
            <w:r>
              <w:rPr>
                <w:b w:val="0"/>
                <w:color w:val="667085"/>
                <w:sz w:val="14"/>
              </w:rPr>
              <w:t xml:space="preserve">  ·  6M2026</w:t>
            </w:r>
          </w:p>
          <w:p>
            <w:pPr>
              <w:spacing w:before="0" w:after="20"/>
            </w:pPr>
            <w:r>
              <w:rPr>
                <w:b/>
                <w:color w:val="12355B"/>
                <w:sz w:val="34"/>
              </w:rPr>
              <w:t>25,8</w:t>
            </w:r>
            <w:r>
              <w:rPr>
                <w:b w:val="0"/>
                <w:color w:val="667085"/>
                <w:sz w:val="18"/>
              </w:rPr>
              <w:t xml:space="preserve"> mln. EUR</w:t>
            </w:r>
          </w:p>
          <w:p>
            <w:pPr>
              <w:spacing w:before="0" w:after="0"/>
            </w:pPr>
            <w:r>
              <w:rPr>
                <w:b w:val="0"/>
                <w:color w:val="667085"/>
                <w:sz w:val="15"/>
              </w:rPr>
              <w:t>▼ 13,4 % vs 6M2025</w:t>
            </w:r>
          </w:p>
        </w:tc>
        <w:tc>
          <w:tcPr>
            <w:tcW w:type="dxa" w:w="198"/>
          </w:tcPr>
          <w:p/>
        </w:tc>
        <w:tc>
          <w:tcPr>
            <w:tcW w:type="dxa" w:w="2261"/>
            <w:tcBorders>
              <w:top w:val="single" w:sz="18" w:color="2A78D6" w:space="0"/>
              <w:left w:val="single" w:sz="4" w:color="D5DCE4" w:space="0"/>
              <w:bottom w:val="single" w:sz="4" w:color="D5DCE4" w:space="0"/>
              <w:right w:val="single" w:sz="4" w:color="D5DCE4" w:space="0"/>
            </w:tcBorders>
          </w:tcPr>
          <w:p>
            <w:pPr>
              <w:spacing w:before="0" w:after="60"/>
            </w:pPr>
            <w:r>
              <w:rPr>
                <w:b/>
                <w:caps/>
                <w:color w:val="667085"/>
                <w:sz w:val="14"/>
              </w:rPr>
              <w:t>Grynasis pelnas</w:t>
            </w:r>
            <w:r>
              <w:rPr>
                <w:b w:val="0"/>
                <w:color w:val="667085"/>
                <w:sz w:val="14"/>
              </w:rPr>
              <w:t xml:space="preserve">  ·  6M2026</w:t>
            </w:r>
          </w:p>
          <w:p>
            <w:pPr>
              <w:spacing w:before="0" w:after="20"/>
            </w:pPr>
            <w:r>
              <w:rPr>
                <w:b/>
                <w:color w:val="12355B"/>
                <w:sz w:val="34"/>
              </w:rPr>
              <w:t>6,0</w:t>
            </w:r>
            <w:r>
              <w:rPr>
                <w:b w:val="0"/>
                <w:color w:val="667085"/>
                <w:sz w:val="18"/>
              </w:rPr>
              <w:t xml:space="preserve"> mln. EUR</w:t>
            </w:r>
          </w:p>
          <w:p>
            <w:pPr>
              <w:spacing w:before="0" w:after="0"/>
            </w:pPr>
            <w:r>
              <w:rPr>
                <w:b w:val="0"/>
                <w:color w:val="667085"/>
                <w:sz w:val="15"/>
              </w:rPr>
              <w:t>▼ 41,7 % vs 6M2025</w:t>
            </w:r>
          </w:p>
        </w:tc>
        <w:tc>
          <w:tcPr>
            <w:tcW w:type="dxa" w:w="198"/>
          </w:tcPr>
          <w:p/>
        </w:tc>
        <w:tc>
          <w:tcPr>
            <w:tcW w:type="dxa" w:w="2261"/>
            <w:tcBorders>
              <w:top w:val="single" w:sz="18" w:color="2A78D6" w:space="0"/>
              <w:left w:val="single" w:sz="4" w:color="D5DCE4" w:space="0"/>
              <w:bottom w:val="single" w:sz="4" w:color="D5DCE4" w:space="0"/>
              <w:right w:val="single" w:sz="4" w:color="D5DCE4" w:space="0"/>
            </w:tcBorders>
          </w:tcPr>
          <w:p>
            <w:pPr>
              <w:spacing w:before="0" w:after="60"/>
            </w:pPr>
            <w:r>
              <w:rPr>
                <w:b/>
                <w:caps/>
                <w:color w:val="667085"/>
                <w:sz w:val="14"/>
              </w:rPr>
              <w:t>Grynoji skola / EBITDA</w:t>
            </w:r>
            <w:r>
              <w:rPr>
                <w:b w:val="0"/>
                <w:color w:val="667085"/>
                <w:sz w:val="14"/>
              </w:rPr>
              <w:t xml:space="preserve">  ·  6M2026</w:t>
            </w:r>
          </w:p>
          <w:p>
            <w:pPr>
              <w:spacing w:before="0" w:after="20"/>
            </w:pPr>
            <w:r>
              <w:rPr>
                <w:b/>
                <w:color w:val="12355B"/>
                <w:sz w:val="34"/>
              </w:rPr>
              <w:t>2,78</w:t>
            </w:r>
            <w:r>
              <w:rPr>
                <w:b w:val="0"/>
                <w:color w:val="667085"/>
                <w:sz w:val="18"/>
              </w:rPr>
              <w:t xml:space="preserve"> x</w:t>
            </w:r>
          </w:p>
          <w:p>
            <w:pPr>
              <w:spacing w:before="0" w:after="0"/>
            </w:pPr>
            <w:r>
              <w:rPr>
                <w:b w:val="0"/>
                <w:color w:val="667085"/>
                <w:sz w:val="15"/>
              </w:rPr>
              <w:t>▲ 0,27x vs FY2025</w:t>
            </w:r>
          </w:p>
        </w:tc>
      </w:tr>
    </w:tbl>
    <w:p>
      <w:pPr>
        <w:spacing w:before="0" w:after="40"/>
      </w:pPr>
    </w:p>
    <w:p>
      <w:pPr>
        <w:keepNext/>
        <w:spacing w:before="200" w:after="100"/>
      </w:pPr>
      <w:r>
        <w:rPr>
          <w:b/>
          <w:color w:val="12355B"/>
          <w:sz w:val="26"/>
        </w:rPr>
        <w:t>Trumpa santrauka</w:t>
      </w:r>
    </w:p>
    <w:p>
      <w:pPr>
        <w:tabs>
          <w:tab w:pos="255" w:val="left"/>
        </w:tabs>
        <w:spacing w:before="0" w:after="80"/>
        <w:ind w:left="255" w:hanging="255"/>
      </w:pPr>
      <w:r>
        <w:rPr>
          <w:b/>
          <w:color w:val="2A78D6"/>
          <w:sz w:val="20"/>
        </w:rPr>
        <w:t>▪</w:t>
        <w:tab/>
      </w:r>
      <w:r>
        <w:rPr>
          <w:b/>
        </w:rPr>
        <w:t>Pajamos auga, pelnas mažėja:</w:t>
      </w:r>
      <w:r>
        <w:rPr>
          <w:b w:val="0"/>
        </w:rPr>
        <w:t xml:space="preserve"> 6 mėn. pajamos išaugo 2,4 % iki 59,3 mln. EUR, tačiau koreguota EBITDA sumažėjo 13,5 % iki 25,8 mln. EUR, o grynasis pelnas – 41,7 % iki 6,0 mln. EUR. EBITDA marža nukrito iki 43,5 % nuo 51,5 %</w:t>
      </w:r>
      <w:hyperlink r:id="rId13">
        <w:r>
          <w:rPr>
            <w:color w:val="2A78D6"/>
            <w:vertAlign w:val="superscript"/>
            <w:sz w:val="17"/>
          </w:rPr>
          <w:t xml:space="preserve">3</w:t>
        </w:r>
      </w:hyperlink>
      <w:r>
        <w:rPr>
          <w:color w:val="2A78D6"/>
          <w:vertAlign w:val="superscript"/>
        </w:rPr>
        <w:t>,</w:t>
      </w:r>
      <w:hyperlink r:id="rId14">
        <w:r>
          <w:rPr>
            <w:color w:val="2A78D6"/>
            <w:vertAlign w:val="superscript"/>
            <w:sz w:val="17"/>
          </w:rPr>
          <w:t xml:space="preserve">4</w:t>
        </w:r>
      </w:hyperlink>
      <w:r>
        <w:rPr>
          <w:b w:val="0"/>
        </w:rPr>
        <w:t>.</w:t>
      </w:r>
    </w:p>
    <w:p>
      <w:pPr>
        <w:tabs>
          <w:tab w:pos="255" w:val="left"/>
        </w:tabs>
        <w:spacing w:before="0" w:after="80"/>
        <w:ind w:left="255" w:hanging="255"/>
      </w:pPr>
      <w:r>
        <w:rPr>
          <w:b/>
          <w:color w:val="2A78D6"/>
          <w:sz w:val="20"/>
        </w:rPr>
        <w:t>▪</w:t>
        <w:tab/>
      </w:r>
      <w:r>
        <w:rPr>
          <w:b/>
        </w:rPr>
        <w:t>Priežastys:</w:t>
      </w:r>
      <w:r>
        <w:rPr>
          <w:b w:val="0"/>
        </w:rPr>
        <w:t xml:space="preserve"> vadovo teigimu, brangesnis kuras ir neplanuoti laivų remontai po ledo sezono</w:t>
      </w:r>
      <w:hyperlink r:id="rId14">
        <w:r>
          <w:rPr>
            <w:color w:val="2A78D6"/>
            <w:vertAlign w:val="superscript"/>
            <w:sz w:val="17"/>
          </w:rPr>
          <w:t xml:space="preserve">4</w:t>
        </w:r>
      </w:hyperlink>
      <w:r>
        <w:rPr>
          <w:b w:val="0"/>
        </w:rPr>
        <w:t>.</w:t>
      </w:r>
    </w:p>
    <w:p>
      <w:pPr>
        <w:tabs>
          <w:tab w:pos="255" w:val="left"/>
        </w:tabs>
        <w:spacing w:before="0" w:after="80"/>
        <w:ind w:left="255" w:hanging="255"/>
      </w:pPr>
      <w:r>
        <w:rPr>
          <w:b/>
          <w:color w:val="2A78D6"/>
          <w:sz w:val="20"/>
        </w:rPr>
        <w:t>▪</w:t>
        <w:tab/>
      </w:r>
      <w:r>
        <w:rPr>
          <w:b/>
        </w:rPr>
        <w:t>Balansas tvirtas:</w:t>
      </w:r>
      <w:r>
        <w:rPr>
          <w:b w:val="0"/>
        </w:rPr>
        <w:t xml:space="preserve"> grynoji skola 145,8 mln. EUR, t. y. 2,78x 12 mėn. koreguotos EBITDA; nuosavas kapitalas sudaro 59,8 % turto (abu rodikliai – mūsų skaičiavimas)</w:t>
      </w:r>
      <w:hyperlink r:id="rId13">
        <w:r>
          <w:rPr>
            <w:color w:val="2A78D6"/>
            <w:vertAlign w:val="superscript"/>
            <w:sz w:val="17"/>
          </w:rPr>
          <w:t xml:space="preserve">2</w:t>
        </w:r>
      </w:hyperlink>
      <w:r>
        <w:rPr>
          <w:b w:val="0"/>
        </w:rPr>
        <w:t>.</w:t>
      </w:r>
    </w:p>
    <w:p>
      <w:pPr>
        <w:tabs>
          <w:tab w:pos="255" w:val="left"/>
        </w:tabs>
        <w:spacing w:before="0" w:after="80"/>
        <w:ind w:left="255" w:hanging="255"/>
      </w:pPr>
      <w:r>
        <w:rPr>
          <w:b/>
          <w:color w:val="2A78D6"/>
          <w:sz w:val="20"/>
        </w:rPr>
        <w:t>▪</w:t>
        <w:tab/>
      </w:r>
      <w:r>
        <w:rPr>
          <w:b/>
        </w:rPr>
        <w:t>Dividendai viršija politiką:</w:t>
      </w:r>
      <w:r>
        <w:rPr>
          <w:b w:val="0"/>
        </w:rPr>
        <w:t xml:space="preserve"> 0,073 EUR akcijai (iš viso 19,2 mln. EUR) – 85 % 2025 m. pelno, kai politikos minimumas 70 %; išmokėta 2026-05-20</w:t>
      </w:r>
      <w:hyperlink r:id="rId13">
        <w:r>
          <w:rPr>
            <w:color w:val="2A78D6"/>
            <w:vertAlign w:val="superscript"/>
            <w:sz w:val="17"/>
          </w:rPr>
          <w:t xml:space="preserve">5</w:t>
        </w:r>
      </w:hyperlink>
      <w:r>
        <w:rPr>
          <w:b w:val="0"/>
        </w:rPr>
        <w:t>.</w:t>
      </w:r>
    </w:p>
    <w:p>
      <w:pPr>
        <w:tabs>
          <w:tab w:pos="255" w:val="left"/>
        </w:tabs>
        <w:spacing w:before="0" w:after="80"/>
        <w:ind w:left="255" w:hanging="255"/>
      </w:pPr>
      <w:r>
        <w:rPr>
          <w:b/>
          <w:color w:val="2A78D6"/>
          <w:sz w:val="20"/>
        </w:rPr>
        <w:t>▪</w:t>
        <w:tab/>
      </w:r>
      <w:r>
        <w:rPr>
          <w:b/>
        </w:rPr>
        <w:t>Valstybės valdoma; sena byla neužbaigta:</w:t>
      </w:r>
      <w:r>
        <w:rPr>
          <w:b w:val="0"/>
        </w:rPr>
        <w:t xml:space="preserve"> Estija valdo 67,03 %</w:t>
      </w:r>
      <w:hyperlink r:id="rId13">
        <w:r>
          <w:rPr>
            <w:color w:val="2A78D6"/>
            <w:vertAlign w:val="superscript"/>
            <w:sz w:val="17"/>
          </w:rPr>
          <w:t xml:space="preserve">6</w:t>
        </w:r>
      </w:hyperlink>
      <w:r>
        <w:rPr>
          <w:b w:val="0"/>
        </w:rPr>
        <w:t>. Buvusių vadovų kyšininkavimo byloje teismas 2024-06-27 išteisino dėl senaties; abi pusės apskundė, vėlesnis sprendimas nerastas – reikia peržiūrėti</w:t>
      </w:r>
      <w:hyperlink r:id="rId15">
        <w:r>
          <w:rPr>
            <w:color w:val="2A78D6"/>
            <w:vertAlign w:val="superscript"/>
            <w:sz w:val="17"/>
          </w:rPr>
          <w:t xml:space="preserve">7</w:t>
        </w:r>
      </w:hyperlink>
      <w:r>
        <w:rPr>
          <w:color w:val="2A78D6"/>
          <w:vertAlign w:val="superscript"/>
        </w:rPr>
        <w:t>,</w:t>
      </w:r>
      <w:hyperlink r:id="rId16">
        <w:r>
          <w:rPr>
            <w:color w:val="2A78D6"/>
            <w:vertAlign w:val="superscript"/>
            <w:sz w:val="17"/>
          </w:rPr>
          <w:t xml:space="preserve">8</w:t>
        </w:r>
      </w:hyperlink>
      <w:r>
        <w:rPr>
          <w:b w:val="0"/>
        </w:rPr>
        <w:t>.</w:t>
      </w:r>
    </w:p>
    <w:p>
      <w:pPr>
        <w:keepNext/>
        <w:pBdr>
          <w:bottom w:val="single" w:sz="8" w:color="12355B" w:space="4"/>
        </w:pBdr>
        <w:tabs>
          <w:tab w:pos="482" w:val="left"/>
        </w:tabs>
        <w:spacing w:before="360" w:after="160"/>
      </w:pPr>
      <w:r>
        <w:rPr>
          <w:b/>
          <w:color w:val="2A78D6"/>
          <w:sz w:val="18"/>
        </w:rPr>
        <w:t>01</w:t>
        <w:tab/>
      </w:r>
      <w:r>
        <w:rPr>
          <w:b/>
          <w:color w:val="12355B"/>
          <w:sz w:val="28"/>
        </w:rPr>
        <w:t>Turimos priemonės ir ISIN</w:t>
      </w:r>
    </w:p>
    <w:tbl>
      <w:tblPr>
        <w:tblW w:w="9639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70" w:type="dxa"/>
          <w:left w:w="100" w:type="dxa"/>
          <w:bottom w:w="70" w:type="dxa"/>
          <w:right w:w="100" w:type="dxa"/>
        </w:tblCellMar>
        <w:tblLook w:firstColumn="1" w:firstRow="1" w:lastColumn="0" w:lastRow="0" w:noHBand="0" w:noVBand="1" w:val="04A0"/>
      </w:tblPr>
      <w:tblGrid>
        <w:gridCol w:w="1457"/>
        <w:gridCol w:w="2241"/>
        <w:gridCol w:w="1064"/>
        <w:gridCol w:w="1120"/>
        <w:gridCol w:w="1569"/>
        <w:gridCol w:w="2185"/>
      </w:tblGrid>
      <w:tr>
        <w:tc>
          <w:tcPr>
            <w:tcW w:type="dxa" w:w="1457"/>
            <w:tcBorders>
              <w:top w:val="nil"/>
              <w:left w:val="nil"/>
              <w:bottom w:val="single" w:sz="8" w:color="12355B" w:space="0"/>
              <w:right w:val="nil"/>
            </w:tcBorders>
          </w:tcPr>
          <w:p>
            <w:pPr>
              <w:spacing w:before="0" w:after="0"/>
            </w:pPr>
            <w:r>
              <w:rPr>
                <w:b/>
                <w:caps/>
                <w:color w:val="667085"/>
                <w:sz w:val="14"/>
              </w:rPr>
              <w:t>ISIN</w:t>
            </w:r>
          </w:p>
        </w:tc>
        <w:tc>
          <w:tcPr>
            <w:tcW w:type="dxa" w:w="2241"/>
            <w:tcBorders>
              <w:top w:val="nil"/>
              <w:left w:val="nil"/>
              <w:bottom w:val="single" w:sz="8" w:color="12355B" w:space="0"/>
              <w:right w:val="nil"/>
            </w:tcBorders>
          </w:tcPr>
          <w:p>
            <w:pPr>
              <w:spacing w:before="0" w:after="0"/>
            </w:pPr>
            <w:r>
              <w:rPr>
                <w:b/>
                <w:caps/>
                <w:color w:val="667085"/>
                <w:sz w:val="14"/>
              </w:rPr>
              <w:t>Priemonė</w:t>
            </w:r>
          </w:p>
        </w:tc>
        <w:tc>
          <w:tcPr>
            <w:tcW w:type="dxa" w:w="1065"/>
            <w:tcBorders>
              <w:top w:val="nil"/>
              <w:left w:val="nil"/>
              <w:bottom w:val="single" w:sz="8" w:color="12355B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/>
                <w:caps/>
                <w:color w:val="667085"/>
                <w:sz w:val="14"/>
              </w:rPr>
              <w:t>Kuponas</w:t>
            </w:r>
          </w:p>
        </w:tc>
        <w:tc>
          <w:tcPr>
            <w:tcW w:type="dxa" w:w="1121"/>
            <w:tcBorders>
              <w:top w:val="nil"/>
              <w:left w:val="nil"/>
              <w:bottom w:val="single" w:sz="8" w:color="12355B" w:space="0"/>
              <w:right w:val="nil"/>
            </w:tcBorders>
          </w:tcPr>
          <w:p>
            <w:pPr>
              <w:spacing w:before="0" w:after="0"/>
            </w:pPr>
            <w:r>
              <w:rPr>
                <w:b/>
                <w:caps/>
                <w:color w:val="667085"/>
                <w:sz w:val="14"/>
              </w:rPr>
              <w:t>Išpirkimas</w:t>
            </w:r>
          </w:p>
        </w:tc>
        <w:tc>
          <w:tcPr>
            <w:tcW w:type="dxa" w:w="1569"/>
            <w:tcBorders>
              <w:top w:val="nil"/>
              <w:left w:val="nil"/>
              <w:bottom w:val="single" w:sz="8" w:color="12355B" w:space="0"/>
              <w:right w:val="nil"/>
            </w:tcBorders>
          </w:tcPr>
          <w:p>
            <w:pPr>
              <w:spacing w:before="0" w:after="0"/>
            </w:pPr>
            <w:r>
              <w:rPr>
                <w:b/>
                <w:caps/>
                <w:color w:val="667085"/>
                <w:sz w:val="14"/>
              </w:rPr>
              <w:t>Emisijos reitingas</w:t>
            </w:r>
          </w:p>
        </w:tc>
        <w:tc>
          <w:tcPr>
            <w:tcW w:type="dxa" w:w="2185"/>
            <w:tcBorders>
              <w:top w:val="nil"/>
              <w:left w:val="nil"/>
              <w:bottom w:val="single" w:sz="8" w:color="12355B" w:space="0"/>
              <w:right w:val="nil"/>
            </w:tcBorders>
          </w:tcPr>
          <w:p>
            <w:pPr>
              <w:spacing w:before="0" w:after="0"/>
            </w:pPr>
            <w:r>
              <w:rPr>
                <w:b/>
                <w:caps/>
                <w:color w:val="667085"/>
                <w:sz w:val="14"/>
              </w:rPr>
              <w:t>Pastaba</w:t>
            </w:r>
          </w:p>
        </w:tc>
      </w:tr>
      <w:tr>
        <w:tc>
          <w:tcPr>
            <w:tcW w:type="dxa" w:w="14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EE3100021635</w:t>
            </w:r>
          </w:p>
        </w:tc>
        <w:tc>
          <w:tcPr>
            <w:tcW w:type="dxa" w:w="2241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AS Tallinna Sadam ordinary share (TSM1T)</w:t>
            </w:r>
          </w:p>
        </w:tc>
        <w:tc>
          <w:tcPr>
            <w:tcW w:type="dxa" w:w="1065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–</w:t>
            </w:r>
          </w:p>
        </w:tc>
        <w:tc>
          <w:tcPr>
            <w:tcW w:type="dxa" w:w="1121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akcija</w:t>
            </w:r>
          </w:p>
        </w:tc>
        <w:tc>
          <w:tcPr>
            <w:tcW w:type="dxa" w:w="1569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</w:r>
          </w:p>
        </w:tc>
        <w:tc>
          <w:tcPr>
            <w:tcW w:type="dxa" w:w="2185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Republic of Estonia holds 67.03%</w:t>
            </w:r>
          </w:p>
        </w:tc>
      </w:tr>
    </w:tbl>
    <w:p>
      <w:pPr>
        <w:spacing w:before="0" w:after="40"/>
      </w:pPr>
    </w:p>
    <w:p>
      <w:pPr>
        <w:keepNext/>
        <w:pBdr>
          <w:bottom w:val="single" w:sz="8" w:color="12355B" w:space="4"/>
        </w:pBdr>
        <w:tabs>
          <w:tab w:pos="482" w:val="left"/>
        </w:tabs>
        <w:spacing w:before="360" w:after="160"/>
      </w:pPr>
      <w:r>
        <w:rPr>
          <w:b/>
          <w:color w:val="2A78D6"/>
          <w:sz w:val="18"/>
        </w:rPr>
        <w:t>02</w:t>
        <w:tab/>
      </w:r>
      <w:r>
        <w:rPr>
          <w:b/>
          <w:color w:val="12355B"/>
          <w:sz w:val="28"/>
        </w:rPr>
        <w:t>Pagrindiniai rodikliai</w:t>
      </w:r>
    </w:p>
    <w:tbl>
      <w:tblPr>
        <w:tblW w:w="9639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70" w:type="dxa"/>
          <w:left w:w="100" w:type="dxa"/>
          <w:bottom w:w="70" w:type="dxa"/>
          <w:right w:w="100" w:type="dxa"/>
        </w:tblCellMar>
        <w:tblLook w:firstColumn="1" w:firstRow="1" w:lastColumn="0" w:lastRow="0" w:noHBand="0" w:noVBand="1" w:val="04A0"/>
      </w:tblPr>
      <w:tblGrid>
        <w:gridCol w:w="2864"/>
        <w:gridCol w:w="1156"/>
        <w:gridCol w:w="1156"/>
        <w:gridCol w:w="1156"/>
        <w:gridCol w:w="1156"/>
        <w:gridCol w:w="2148"/>
      </w:tblGrid>
      <w:tr>
        <w:tc>
          <w:tcPr>
            <w:tcW w:type="dxa" w:w="2864"/>
            <w:tcBorders>
              <w:top w:val="nil"/>
              <w:left w:val="nil"/>
              <w:bottom w:val="single" w:sz="8" w:color="12355B" w:space="0"/>
              <w:right w:val="nil"/>
            </w:tcBorders>
          </w:tcPr>
          <w:p>
            <w:pPr>
              <w:spacing w:before="0" w:after="0"/>
            </w:pPr>
            <w:r>
              <w:rPr>
                <w:b/>
                <w:caps/>
                <w:color w:val="667085"/>
                <w:sz w:val="14"/>
              </w:rPr>
              <w:t>Rodiklis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8" w:color="12355B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/>
                <w:caps/>
                <w:color w:val="667085"/>
                <w:sz w:val="14"/>
              </w:rPr>
              <w:t>FY2024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8" w:color="12355B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/>
                <w:caps/>
                <w:color w:val="667085"/>
                <w:sz w:val="14"/>
              </w:rPr>
              <w:t>FY2025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8" w:color="12355B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/>
                <w:caps/>
                <w:color w:val="667085"/>
                <w:sz w:val="14"/>
              </w:rPr>
              <w:t>6M2025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8" w:color="12355B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/>
                <w:caps/>
                <w:color w:val="667085"/>
                <w:sz w:val="14"/>
              </w:rPr>
              <w:t>6M2026</w:t>
            </w:r>
          </w:p>
        </w:tc>
        <w:tc>
          <w:tcPr>
            <w:tcW w:type="dxa" w:w="2148"/>
            <w:tcBorders>
              <w:top w:val="nil"/>
              <w:left w:val="nil"/>
              <w:bottom w:val="single" w:sz="8" w:color="12355B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/>
                <w:caps/>
                <w:color w:val="667085"/>
                <w:sz w:val="14"/>
              </w:rPr>
              <w:t>Pokytis</w:t>
            </w:r>
          </w:p>
        </w:tc>
      </w:tr>
      <w:tr>
        <w:tc>
          <w:tcPr>
            <w:tcW w:type="dxa" w:w="2864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Pajamos, mln. EUR</w:t>
            </w:r>
            <w:hyperlink r:id="rId17">
              <w:r>
                <w:rPr>
                  <w:color w:val="2A78D6"/>
                  <w:vertAlign w:val="superscript"/>
                  <w:sz w:val="14"/>
                </w:rPr>
                <w:t xml:space="preserve">9</w:t>
              </w:r>
            </w:hyperlink>
            <w:r>
              <w:rPr>
                <w:color w:val="2A78D6"/>
                <w:vertAlign w:val="superscript"/>
              </w:rPr>
              <w:t>,</w:t>
            </w:r>
            <w:hyperlink r:id="rId13">
              <w:r>
                <w:rPr>
                  <w:color w:val="2A78D6"/>
                  <w:vertAlign w:val="superscript"/>
                  <w:sz w:val="14"/>
                </w:rPr>
                <w:t xml:space="preserve">3</w:t>
              </w:r>
            </w:hyperlink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119,6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118,7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57,9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59,3</w:t>
            </w:r>
          </w:p>
        </w:tc>
        <w:tc>
          <w:tcPr>
            <w:tcW w:type="dxa" w:w="2148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/>
                <w:color w:val="1B7F3B"/>
                <w:sz w:val="17"/>
              </w:rPr>
              <w:t>▲ 2,4 % vs 6M2025</w:t>
            </w:r>
          </w:p>
        </w:tc>
      </w:tr>
      <w:tr>
        <w:tc>
          <w:tcPr>
            <w:tcW w:type="dxa" w:w="2864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Koreguota EBITDA, mln. EUR</w:t>
            </w:r>
            <w:hyperlink r:id="rId17">
              <w:r>
                <w:rPr>
                  <w:color w:val="2A78D6"/>
                  <w:vertAlign w:val="superscript"/>
                  <w:sz w:val="14"/>
                </w:rPr>
                <w:t xml:space="preserve">9</w:t>
              </w:r>
            </w:hyperlink>
            <w:r>
              <w:rPr>
                <w:color w:val="2A78D6"/>
                <w:vertAlign w:val="superscript"/>
              </w:rPr>
              <w:t>,</w:t>
            </w:r>
            <w:hyperlink r:id="rId13">
              <w:r>
                <w:rPr>
                  <w:color w:val="2A78D6"/>
                  <w:vertAlign w:val="superscript"/>
                  <w:sz w:val="14"/>
                </w:rPr>
                <w:t xml:space="preserve">3</w:t>
              </w:r>
            </w:hyperlink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53,1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56,5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29,8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25,8</w:t>
            </w:r>
          </w:p>
        </w:tc>
        <w:tc>
          <w:tcPr>
            <w:tcW w:type="dxa" w:w="2148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/>
                <w:color w:val="B42318"/>
                <w:sz w:val="17"/>
              </w:rPr>
              <w:t>▼ 13,4 % vs 6M2025</w:t>
            </w:r>
          </w:p>
        </w:tc>
      </w:tr>
      <w:tr>
        <w:tc>
          <w:tcPr>
            <w:tcW w:type="dxa" w:w="2864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Koreguotos EBITDA marža</w:t>
            </w:r>
            <w:hyperlink r:id="rId17">
              <w:r>
                <w:rPr>
                  <w:color w:val="2A78D6"/>
                  <w:vertAlign w:val="superscript"/>
                  <w:sz w:val="14"/>
                </w:rPr>
                <w:t xml:space="preserve">9</w:t>
              </w:r>
            </w:hyperlink>
            <w:r>
              <w:rPr>
                <w:color w:val="2A78D6"/>
                <w:vertAlign w:val="superscript"/>
              </w:rPr>
              <w:t>,</w:t>
            </w:r>
            <w:hyperlink r:id="rId13">
              <w:r>
                <w:rPr>
                  <w:color w:val="2A78D6"/>
                  <w:vertAlign w:val="superscript"/>
                  <w:sz w:val="14"/>
                </w:rPr>
                <w:t xml:space="preserve">3</w:t>
              </w:r>
            </w:hyperlink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44,4 %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47,6 %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51,5 %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  <w:shd w:val="clear" w:color="auto" w:fill="E3F3E8"/>
          </w:tcPr>
          <w:p>
            <w:pPr>
              <w:spacing w:before="0" w:after="0"/>
              <w:jc w:val="right"/>
            </w:pPr>
            <w:r>
              <w:rPr>
                <w:b/>
                <w:sz w:val="17"/>
              </w:rPr>
              <w:t>43,5 %</w:t>
            </w:r>
          </w:p>
        </w:tc>
        <w:tc>
          <w:tcPr>
            <w:tcW w:type="dxa" w:w="2148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/>
                <w:color w:val="B42318"/>
                <w:sz w:val="17"/>
              </w:rPr>
              <w:t>▼ 8 p. p. vs 6M2025</w:t>
            </w:r>
          </w:p>
        </w:tc>
      </w:tr>
      <w:tr>
        <w:tc>
          <w:tcPr>
            <w:tcW w:type="dxa" w:w="2864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Veiklos pelnas, mln. EUR</w:t>
            </w:r>
            <w:hyperlink r:id="rId17">
              <w:r>
                <w:rPr>
                  <w:color w:val="2A78D6"/>
                  <w:vertAlign w:val="superscript"/>
                  <w:sz w:val="14"/>
                </w:rPr>
                <w:t xml:space="preserve">9</w:t>
              </w:r>
            </w:hyperlink>
            <w:r>
              <w:rPr>
                <w:color w:val="2A78D6"/>
                <w:vertAlign w:val="superscript"/>
              </w:rPr>
              <w:t>,</w:t>
            </w:r>
            <w:hyperlink r:id="rId13">
              <w:r>
                <w:rPr>
                  <w:color w:val="2A78D6"/>
                  <w:vertAlign w:val="superscript"/>
                  <w:sz w:val="14"/>
                </w:rPr>
                <w:t xml:space="preserve">3</w:t>
              </w:r>
            </w:hyperlink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29,1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32,7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18,3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13,6</w:t>
            </w:r>
          </w:p>
        </w:tc>
        <w:tc>
          <w:tcPr>
            <w:tcW w:type="dxa" w:w="2148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/>
                <w:color w:val="B42318"/>
                <w:sz w:val="17"/>
              </w:rPr>
              <w:t>▼ 25,7 % vs 6M2025</w:t>
            </w:r>
          </w:p>
        </w:tc>
      </w:tr>
      <w:tr>
        <w:tc>
          <w:tcPr>
            <w:tcW w:type="dxa" w:w="2864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Grynasis pelnas, mln. EUR</w:t>
            </w:r>
            <w:hyperlink r:id="rId17">
              <w:r>
                <w:rPr>
                  <w:color w:val="2A78D6"/>
                  <w:vertAlign w:val="superscript"/>
                  <w:sz w:val="14"/>
                </w:rPr>
                <w:t xml:space="preserve">9</w:t>
              </w:r>
            </w:hyperlink>
            <w:r>
              <w:rPr>
                <w:color w:val="2A78D6"/>
                <w:vertAlign w:val="superscript"/>
              </w:rPr>
              <w:t>,</w:t>
            </w:r>
            <w:hyperlink r:id="rId13">
              <w:r>
                <w:rPr>
                  <w:color w:val="2A78D6"/>
                  <w:vertAlign w:val="superscript"/>
                  <w:sz w:val="14"/>
                </w:rPr>
                <w:t xml:space="preserve">3</w:t>
              </w:r>
            </w:hyperlink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19,2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22,5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10,3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6,0</w:t>
            </w:r>
          </w:p>
        </w:tc>
        <w:tc>
          <w:tcPr>
            <w:tcW w:type="dxa" w:w="2148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/>
                <w:color w:val="B42318"/>
                <w:sz w:val="17"/>
              </w:rPr>
              <w:t>▼ 41,7 % vs 6M2025</w:t>
            </w:r>
          </w:p>
        </w:tc>
      </w:tr>
      <w:tr>
        <w:tc>
          <w:tcPr>
            <w:tcW w:type="dxa" w:w="2864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Investicijos, mln. EUR</w:t>
            </w:r>
            <w:hyperlink r:id="rId17">
              <w:r>
                <w:rPr>
                  <w:color w:val="2A78D6"/>
                  <w:vertAlign w:val="superscript"/>
                  <w:sz w:val="14"/>
                </w:rPr>
                <w:t xml:space="preserve">9</w:t>
              </w:r>
            </w:hyperlink>
            <w:r>
              <w:rPr>
                <w:color w:val="2A78D6"/>
                <w:vertAlign w:val="superscript"/>
              </w:rPr>
              <w:t>,</w:t>
            </w:r>
            <w:hyperlink r:id="rId13">
              <w:r>
                <w:rPr>
                  <w:color w:val="2A78D6"/>
                  <w:vertAlign w:val="superscript"/>
                  <w:sz w:val="14"/>
                </w:rPr>
                <w:t xml:space="preserve">3</w:t>
              </w:r>
            </w:hyperlink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38,8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33,2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12,0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3,5</w:t>
            </w:r>
          </w:p>
        </w:tc>
        <w:tc>
          <w:tcPr>
            <w:tcW w:type="dxa" w:w="2148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color w:val="5F6B7A"/>
                <w:sz w:val="17"/>
              </w:rPr>
              <w:t>▼ 70,8 % vs 6M2025</w:t>
            </w:r>
          </w:p>
        </w:tc>
      </w:tr>
      <w:tr>
        <w:tc>
          <w:tcPr>
            <w:tcW w:type="dxa" w:w="2864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Grynoji skola, mln. EUR</w:t>
            </w:r>
            <w:hyperlink r:id="rId17">
              <w:r>
                <w:rPr>
                  <w:color w:val="2A78D6"/>
                  <w:vertAlign w:val="superscript"/>
                  <w:sz w:val="14"/>
                </w:rPr>
                <w:t xml:space="preserve">9</w:t>
              </w:r>
            </w:hyperlink>
            <w:r>
              <w:rPr>
                <w:color w:val="2A78D6"/>
                <w:vertAlign w:val="superscript"/>
              </w:rPr>
              <w:t>,</w:t>
            </w:r>
            <w:hyperlink r:id="rId13">
              <w:r>
                <w:rPr>
                  <w:color w:val="2A78D6"/>
                  <w:vertAlign w:val="superscript"/>
                  <w:sz w:val="14"/>
                </w:rPr>
                <w:t xml:space="preserve">3</w:t>
              </w:r>
            </w:hyperlink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167,6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141,7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143,7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145,8</w:t>
            </w:r>
          </w:p>
        </w:tc>
        <w:tc>
          <w:tcPr>
            <w:tcW w:type="dxa" w:w="2148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/>
                <w:color w:val="B42318"/>
                <w:sz w:val="17"/>
              </w:rPr>
              <w:t>▲ 1,5 % vs 6M2025</w:t>
            </w:r>
          </w:p>
        </w:tc>
      </w:tr>
      <w:tr>
        <w:tc>
          <w:tcPr>
            <w:tcW w:type="dxa" w:w="2864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Grynoji skola / EBITDA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3,15xᶜ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2,51xᶜ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–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  <w:shd w:val="clear" w:color="auto" w:fill="E3F3E8"/>
          </w:tcPr>
          <w:p>
            <w:pPr>
              <w:spacing w:before="0" w:after="0"/>
              <w:jc w:val="right"/>
            </w:pPr>
            <w:r>
              <w:rPr>
                <w:b/>
                <w:sz w:val="17"/>
              </w:rPr>
              <w:t>2,78xᶜ</w:t>
            </w:r>
          </w:p>
        </w:tc>
        <w:tc>
          <w:tcPr>
            <w:tcW w:type="dxa" w:w="2148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/>
                <w:color w:val="B42318"/>
                <w:sz w:val="17"/>
              </w:rPr>
              <w:t>▲ 0,27x vs FY2025</w:t>
            </w:r>
          </w:p>
        </w:tc>
      </w:tr>
      <w:tr>
        <w:tc>
          <w:tcPr>
            <w:tcW w:type="dxa" w:w="2864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Nuosavo kapitalo dalis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–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61,2 %ᶜ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59,3 %ᶜ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  <w:shd w:val="clear" w:color="auto" w:fill="E3F3E8"/>
          </w:tcPr>
          <w:p>
            <w:pPr>
              <w:spacing w:before="0" w:after="0"/>
              <w:jc w:val="right"/>
            </w:pPr>
            <w:r>
              <w:rPr>
                <w:b/>
                <w:sz w:val="17"/>
              </w:rPr>
              <w:t>59,8 %ᶜ</w:t>
            </w:r>
          </w:p>
        </w:tc>
        <w:tc>
          <w:tcPr>
            <w:tcW w:type="dxa" w:w="2148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/>
                <w:color w:val="1B7F3B"/>
                <w:sz w:val="17"/>
              </w:rPr>
              <w:t>▲ 0,5 p. p. vs 6M2025</w:t>
            </w:r>
          </w:p>
        </w:tc>
      </w:tr>
      <w:tr>
        <w:tc>
          <w:tcPr>
            <w:tcW w:type="dxa" w:w="2864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Krovinių kiekis, mln. t</w:t>
            </w:r>
            <w:hyperlink r:id="rId17">
              <w:r>
                <w:rPr>
                  <w:color w:val="2A78D6"/>
                  <w:vertAlign w:val="superscript"/>
                  <w:sz w:val="14"/>
                </w:rPr>
                <w:t xml:space="preserve">9</w:t>
              </w:r>
            </w:hyperlink>
            <w:r>
              <w:rPr>
                <w:color w:val="2A78D6"/>
                <w:vertAlign w:val="superscript"/>
              </w:rPr>
              <w:t>,</w:t>
            </w:r>
            <w:hyperlink r:id="rId13">
              <w:r>
                <w:rPr>
                  <w:color w:val="2A78D6"/>
                  <w:vertAlign w:val="superscript"/>
                  <w:sz w:val="14"/>
                </w:rPr>
                <w:t xml:space="preserve">3</w:t>
              </w:r>
            </w:hyperlink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13,1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13,8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6,83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6,48</w:t>
            </w:r>
          </w:p>
        </w:tc>
        <w:tc>
          <w:tcPr>
            <w:tcW w:type="dxa" w:w="2148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/>
                <w:color w:val="B42318"/>
                <w:sz w:val="17"/>
              </w:rPr>
              <w:t>▼ 5,1 % vs 6M2025</w:t>
            </w:r>
          </w:p>
        </w:tc>
      </w:tr>
      <w:tr>
        <w:tc>
          <w:tcPr>
            <w:tcW w:type="dxa" w:w="2864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Keleiviai, mln.</w:t>
            </w:r>
            <w:hyperlink r:id="rId13">
              <w:r>
                <w:rPr>
                  <w:color w:val="2A78D6"/>
                  <w:vertAlign w:val="superscript"/>
                  <w:sz w:val="14"/>
                </w:rPr>
                <w:t xml:space="preserve">3</w:t>
              </w:r>
            </w:hyperlink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–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–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3,66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3,59</w:t>
            </w:r>
          </w:p>
        </w:tc>
        <w:tc>
          <w:tcPr>
            <w:tcW w:type="dxa" w:w="2148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/>
                <w:color w:val="B42318"/>
                <w:sz w:val="17"/>
              </w:rPr>
              <w:t>▼ 1,9 % vs 6M2025</w:t>
            </w:r>
          </w:p>
        </w:tc>
      </w:tr>
      <w:tr>
        <w:tc>
          <w:tcPr>
            <w:tcW w:type="dxa" w:w="2864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Dividendai akcijai, EUR</w:t>
            </w:r>
            <w:hyperlink r:id="rId13">
              <w:r>
                <w:rPr>
                  <w:color w:val="2A78D6"/>
                  <w:vertAlign w:val="superscript"/>
                  <w:sz w:val="14"/>
                </w:rPr>
                <w:t xml:space="preserve">10</w:t>
              </w:r>
            </w:hyperlink>
            <w:r>
              <w:rPr>
                <w:color w:val="2A78D6"/>
                <w:vertAlign w:val="superscript"/>
              </w:rPr>
              <w:t>,</w:t>
            </w:r>
            <w:hyperlink r:id="rId13">
              <w:r>
                <w:rPr>
                  <w:color w:val="2A78D6"/>
                  <w:vertAlign w:val="superscript"/>
                  <w:sz w:val="14"/>
                </w:rPr>
                <w:t xml:space="preserve">11</w:t>
              </w:r>
            </w:hyperlink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0,073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0,073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–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–</w:t>
            </w:r>
          </w:p>
        </w:tc>
        <w:tc>
          <w:tcPr>
            <w:tcW w:type="dxa" w:w="2148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color w:val="5F6B7A"/>
                <w:sz w:val="17"/>
              </w:rPr>
              <w:t>• 0,0 % vs FY2024</w:t>
            </w:r>
          </w:p>
        </w:tc>
      </w:tr>
    </w:tbl>
    <w:p>
      <w:pPr>
        <w:spacing w:before="0" w:after="40"/>
      </w:pPr>
    </w:p>
    <w:p>
      <w:pPr>
        <w:spacing w:before="40" w:after="60"/>
      </w:pPr>
      <w:r>
        <w:rPr>
          <w:b w:val="0"/>
          <w:color w:val="667085"/>
          <w:sz w:val="16"/>
        </w:rPr>
        <w:t>Spalvos: žalias pokytis – rodiklis gerėja, raudonas – blogėja. Paskutinio laikotarpio langelio fonas: žalias – geras lygis, geltonas – vidutinis, raudonas – silpnas (vidiniai orientyrai, config/metric_rules.yaml).</w:t>
      </w:r>
    </w:p>
    <w:p>
      <w:pPr>
        <w:spacing w:before="40" w:after="60"/>
      </w:pPr>
      <w:r>
        <w:rPr>
          <w:b w:val="0"/>
          <w:color w:val="667085"/>
          <w:sz w:val="16"/>
        </w:rPr>
        <w:t>* – paimta iš ataskaitos santraukos;  ᶜ – mūsų skaičiavimas. Mažas numeris prie teksto – nuoroda į šaltinį (paspaudus atsidaro dokumentas reikiamame puslapyje).</w:t>
      </w:r>
    </w:p>
    <w:p>
      <w:r>
        <w:drawing>
          <wp:inline xmlns:a="http://schemas.openxmlformats.org/drawingml/2006/main" xmlns:pic="http://schemas.openxmlformats.org/drawingml/2006/picture">
            <wp:extent cx="6120000" cy="1713899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port-of-tallinn_lt.png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6120000" cy="171389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keepNext/>
        <w:pBdr>
          <w:bottom w:val="single" w:sz="8" w:color="12355B" w:space="4"/>
        </w:pBdr>
        <w:tabs>
          <w:tab w:pos="482" w:val="left"/>
        </w:tabs>
        <w:spacing w:before="360" w:after="160"/>
      </w:pPr>
      <w:r>
        <w:rPr>
          <w:b/>
          <w:color w:val="2A78D6"/>
          <w:sz w:val="18"/>
        </w:rPr>
        <w:t>03</w:t>
        <w:tab/>
      </w:r>
      <w:r>
        <w:rPr>
          <w:b/>
          <w:color w:val="12355B"/>
          <w:sz w:val="28"/>
        </w:rPr>
        <w:t>Veiklos apžvalga</w:t>
      </w:r>
    </w:p>
    <w:p>
      <w:pPr>
        <w:tabs>
          <w:tab w:pos="255" w:val="left"/>
        </w:tabs>
        <w:spacing w:before="0" w:after="80"/>
        <w:ind w:left="255" w:hanging="255"/>
      </w:pPr>
      <w:r>
        <w:rPr>
          <w:b/>
          <w:color w:val="2A78D6"/>
          <w:sz w:val="20"/>
        </w:rPr>
        <w:t>▪</w:t>
        <w:tab/>
      </w:r>
      <w:r>
        <w:rPr>
          <w:b w:val="0"/>
        </w:rPr>
        <w:t>Kroviniai 6,48 mln. t (−5,0 %), daugiausia dėl skystų krovinių (−33,8 %); keleiviai 3,59 mln. (−2,0 %); laivų įplaukimai −4,8 %</w:t>
      </w:r>
      <w:hyperlink r:id="rId13">
        <w:r>
          <w:rPr>
            <w:color w:val="2A78D6"/>
            <w:vertAlign w:val="superscript"/>
            <w:sz w:val="17"/>
          </w:rPr>
          <w:t xml:space="preserve">3</w:t>
        </w:r>
      </w:hyperlink>
      <w:r>
        <w:rPr>
          <w:b w:val="0"/>
        </w:rPr>
        <w:t>.</w:t>
      </w:r>
    </w:p>
    <w:p>
      <w:pPr>
        <w:tabs>
          <w:tab w:pos="255" w:val="left"/>
        </w:tabs>
        <w:spacing w:before="0" w:after="80"/>
        <w:ind w:left="255" w:hanging="255"/>
      </w:pPr>
      <w:r>
        <w:rPr>
          <w:b/>
          <w:color w:val="2A78D6"/>
          <w:sz w:val="20"/>
        </w:rPr>
        <w:t>▪</w:t>
        <w:tab/>
      </w:r>
      <w:r>
        <w:rPr>
          <w:b w:val="0"/>
        </w:rPr>
        <w:t>Kruizų keleiviai +47,8 %, kruizinių laivų įplaukimai +29,3 % (6 mėn.)</w:t>
      </w:r>
      <w:hyperlink r:id="rId13">
        <w:r>
          <w:rPr>
            <w:color w:val="2A78D6"/>
            <w:vertAlign w:val="superscript"/>
            <w:sz w:val="17"/>
          </w:rPr>
          <w:t xml:space="preserve">2</w:t>
        </w:r>
      </w:hyperlink>
      <w:r>
        <w:rPr>
          <w:b w:val="0"/>
        </w:rPr>
        <w:t>.</w:t>
      </w:r>
    </w:p>
    <w:p>
      <w:pPr>
        <w:tabs>
          <w:tab w:pos="255" w:val="left"/>
        </w:tabs>
        <w:spacing w:before="0" w:after="80"/>
        <w:ind w:left="255" w:hanging="255"/>
      </w:pPr>
      <w:r>
        <w:rPr>
          <w:b/>
          <w:color w:val="2A78D6"/>
          <w:sz w:val="20"/>
        </w:rPr>
        <w:t>▪</w:t>
        <w:tab/>
      </w:r>
      <w:r>
        <w:rPr>
          <w:b/>
        </w:rPr>
        <w:t>Keltai (Saaremaa, Hiiumaa):</w:t>
      </w:r>
      <w:r>
        <w:rPr>
          <w:b w:val="0"/>
        </w:rPr>
        <w:t xml:space="preserve"> II ketv. reisai +1,2 %, keleiviai +1,8 %; vasarai sutarta dėl papildomų kelto „Regula“ reisų</w:t>
      </w:r>
      <w:hyperlink r:id="rId13">
        <w:r>
          <w:rPr>
            <w:color w:val="2A78D6"/>
            <w:vertAlign w:val="superscript"/>
            <w:sz w:val="17"/>
          </w:rPr>
          <w:t xml:space="preserve">2</w:t>
        </w:r>
      </w:hyperlink>
      <w:r>
        <w:rPr>
          <w:b w:val="0"/>
        </w:rPr>
        <w:t>. Ledlaužio „Botnica“ frachtas 130 d. (110 d.)</w:t>
      </w:r>
      <w:hyperlink r:id="rId13">
        <w:r>
          <w:rPr>
            <w:color w:val="2A78D6"/>
            <w:vertAlign w:val="superscript"/>
            <w:sz w:val="17"/>
          </w:rPr>
          <w:t xml:space="preserve">2</w:t>
        </w:r>
      </w:hyperlink>
      <w:r>
        <w:rPr>
          <w:b w:val="0"/>
        </w:rPr>
        <w:t>.</w:t>
      </w:r>
    </w:p>
    <w:p>
      <w:pPr>
        <w:tabs>
          <w:tab w:pos="255" w:val="left"/>
        </w:tabs>
        <w:spacing w:before="0" w:after="80"/>
        <w:ind w:left="255" w:hanging="255"/>
      </w:pPr>
      <w:r>
        <w:rPr>
          <w:b/>
          <w:color w:val="2A78D6"/>
          <w:sz w:val="20"/>
        </w:rPr>
        <w:t>▪</w:t>
        <w:tab/>
      </w:r>
      <w:r>
        <w:rPr>
          <w:b/>
        </w:rPr>
        <w:t>Segmentai (6 mėn., pajamos / koreg. EBITDA, mln. EUR):</w:t>
      </w:r>
      <w:r>
        <w:rPr>
          <w:b w:val="0"/>
        </w:rPr>
        <w:t xml:space="preserve"> keleivių uostai 18,9 / 9,6; krovinių uostai 15,8 / 7,3; keltai 18,6 / 5,9; kita 5,9 / 3,1</w:t>
      </w:r>
      <w:hyperlink r:id="rId13">
        <w:r>
          <w:rPr>
            <w:color w:val="2A78D6"/>
            <w:vertAlign w:val="superscript"/>
            <w:sz w:val="17"/>
          </w:rPr>
          <w:t xml:space="preserve">12</w:t>
        </w:r>
      </w:hyperlink>
      <w:r>
        <w:rPr>
          <w:b w:val="0"/>
        </w:rPr>
        <w:t>.</w:t>
      </w:r>
    </w:p>
    <w:p>
      <w:pPr>
        <w:tabs>
          <w:tab w:pos="255" w:val="left"/>
        </w:tabs>
        <w:spacing w:before="0" w:after="80"/>
        <w:ind w:left="255" w:hanging="255"/>
      </w:pPr>
      <w:r>
        <w:rPr>
          <w:b/>
          <w:color w:val="2A78D6"/>
          <w:sz w:val="20"/>
        </w:rPr>
        <w:t>▪</w:t>
        <w:tab/>
      </w:r>
      <w:r>
        <w:rPr>
          <w:b/>
        </w:rPr>
        <w:t>Rizikos pagal ataskaitą:</w:t>
      </w:r>
      <w:r>
        <w:rPr>
          <w:b w:val="0"/>
        </w:rPr>
        <w:t xml:space="preserve"> karas Ukrainoje mažina skystų krovinių srautus; JAV–Irano konfliktas ir Hormūzo sąsiaurio blokada didina kuro kainas</w:t>
      </w:r>
      <w:hyperlink r:id="rId13">
        <w:r>
          <w:rPr>
            <w:color w:val="2A78D6"/>
            <w:vertAlign w:val="superscript"/>
            <w:sz w:val="17"/>
          </w:rPr>
          <w:t xml:space="preserve">2</w:t>
        </w:r>
      </w:hyperlink>
      <w:r>
        <w:rPr>
          <w:b w:val="0"/>
        </w:rPr>
        <w:t>.</w:t>
      </w:r>
    </w:p>
    <w:p>
      <w:pPr>
        <w:keepNext/>
        <w:pBdr>
          <w:bottom w:val="single" w:sz="8" w:color="12355B" w:space="4"/>
        </w:pBdr>
        <w:tabs>
          <w:tab w:pos="482" w:val="left"/>
        </w:tabs>
        <w:spacing w:before="360" w:after="160"/>
      </w:pPr>
      <w:r>
        <w:rPr>
          <w:b/>
          <w:color w:val="2A78D6"/>
          <w:sz w:val="18"/>
        </w:rPr>
        <w:t>04</w:t>
        <w:tab/>
      </w:r>
      <w:r>
        <w:rPr>
          <w:b/>
          <w:color w:val="12355B"/>
          <w:sz w:val="28"/>
        </w:rPr>
        <w:t>Finansai</w:t>
      </w:r>
    </w:p>
    <w:p>
      <w:pPr>
        <w:tabs>
          <w:tab w:pos="255" w:val="left"/>
        </w:tabs>
        <w:spacing w:before="0" w:after="80"/>
        <w:ind w:left="255" w:hanging="255"/>
      </w:pPr>
      <w:r>
        <w:rPr>
          <w:b/>
          <w:color w:val="2A78D6"/>
          <w:sz w:val="20"/>
        </w:rPr>
        <w:t>▪</w:t>
        <w:tab/>
      </w:r>
      <w:r>
        <w:rPr>
          <w:b/>
        </w:rPr>
        <w:t>2025 m.:</w:t>
      </w:r>
      <w:r>
        <w:rPr>
          <w:b w:val="0"/>
        </w:rPr>
        <w:t xml:space="preserve"> pajamos 118,7 mln. EUR (−0,8 %), koreguota EBITDA 56,5 mln. EUR (+6,4 %), grynasis pelnas 22,5 mln. EUR (+17,3 %), investicijos 33,2 mln. EUR, laisvieji pinigų srautai 50,9 mln. EUR</w:t>
      </w:r>
      <w:hyperlink r:id="rId17">
        <w:r>
          <w:rPr>
            <w:color w:val="2A78D6"/>
            <w:vertAlign w:val="superscript"/>
            <w:sz w:val="17"/>
          </w:rPr>
          <w:t xml:space="preserve">9</w:t>
        </w:r>
      </w:hyperlink>
      <w:r>
        <w:rPr>
          <w:b w:val="0"/>
        </w:rPr>
        <w:t>.</w:t>
      </w:r>
    </w:p>
    <w:p>
      <w:pPr>
        <w:tabs>
          <w:tab w:pos="255" w:val="left"/>
        </w:tabs>
        <w:spacing w:before="0" w:after="80"/>
        <w:ind w:left="255" w:hanging="255"/>
      </w:pPr>
      <w:r>
        <w:rPr>
          <w:b/>
          <w:color w:val="2A78D6"/>
          <w:sz w:val="20"/>
        </w:rPr>
        <w:t>▪</w:t>
        <w:tab/>
      </w:r>
      <w:r>
        <w:rPr>
          <w:b w:val="0"/>
        </w:rPr>
        <w:t>6 mėn. investicijos 3,5 mln. EUR (12,0 mln.). 2025 m. palyginimui įtakos turėjo vienkartinis 0,9 mln. EUR pelnas iš žemės pardavimo Rail Baltica stočiai</w:t>
      </w:r>
      <w:hyperlink r:id="rId13">
        <w:r>
          <w:rPr>
            <w:color w:val="2A78D6"/>
            <w:vertAlign w:val="superscript"/>
            <w:sz w:val="17"/>
          </w:rPr>
          <w:t xml:space="preserve">2</w:t>
        </w:r>
      </w:hyperlink>
      <w:r>
        <w:rPr>
          <w:b w:val="0"/>
        </w:rPr>
        <w:t>.</w:t>
      </w:r>
    </w:p>
    <w:p>
      <w:pPr>
        <w:keepNext/>
        <w:pBdr>
          <w:bottom w:val="single" w:sz="8" w:color="12355B" w:space="4"/>
        </w:pBdr>
        <w:tabs>
          <w:tab w:pos="482" w:val="left"/>
        </w:tabs>
        <w:spacing w:before="360" w:after="160"/>
      </w:pPr>
      <w:r>
        <w:rPr>
          <w:b/>
          <w:color w:val="2A78D6"/>
          <w:sz w:val="18"/>
        </w:rPr>
        <w:t>05</w:t>
        <w:tab/>
      </w:r>
      <w:r>
        <w:rPr>
          <w:b/>
          <w:color w:val="12355B"/>
          <w:sz w:val="28"/>
        </w:rPr>
        <w:t>Ankstesni planai ir rezultatai</w:t>
      </w:r>
    </w:p>
    <w:tbl>
      <w:tblPr>
        <w:tblW w:w="9638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70" w:type="dxa"/>
          <w:left w:w="100" w:type="dxa"/>
          <w:bottom w:w="70" w:type="dxa"/>
          <w:right w:w="100" w:type="dxa"/>
        </w:tblCellMar>
        <w:tblLook w:firstColumn="1" w:firstRow="1" w:lastColumn="0" w:lastRow="0" w:noHBand="0" w:noVBand="1" w:val="04A0"/>
      </w:tblPr>
      <w:tblGrid>
        <w:gridCol w:w="2577"/>
        <w:gridCol w:w="2577"/>
        <w:gridCol w:w="3138"/>
        <w:gridCol w:w="1344"/>
      </w:tblGrid>
      <w:tr>
        <w:tc>
          <w:tcPr>
            <w:tcW w:type="dxa" w:w="2578"/>
            <w:tcBorders>
              <w:top w:val="nil"/>
              <w:left w:val="nil"/>
              <w:bottom w:val="single" w:sz="8" w:color="12355B" w:space="0"/>
              <w:right w:val="nil"/>
            </w:tcBorders>
          </w:tcPr>
          <w:p>
            <w:pPr>
              <w:spacing w:before="0" w:after="0"/>
            </w:pPr>
            <w:r>
              <w:rPr>
                <w:b/>
                <w:caps/>
                <w:color w:val="667085"/>
                <w:sz w:val="14"/>
              </w:rPr>
              <w:t>Planas / tikslas</w:t>
            </w:r>
          </w:p>
        </w:tc>
        <w:tc>
          <w:tcPr>
            <w:tcW w:type="dxa" w:w="2578"/>
            <w:tcBorders>
              <w:top w:val="nil"/>
              <w:left w:val="nil"/>
              <w:bottom w:val="single" w:sz="8" w:color="12355B" w:space="0"/>
              <w:right w:val="nil"/>
            </w:tcBorders>
          </w:tcPr>
          <w:p>
            <w:pPr>
              <w:spacing w:before="0" w:after="0"/>
            </w:pPr>
            <w:r>
              <w:rPr>
                <w:b/>
                <w:caps/>
                <w:color w:val="667085"/>
                <w:sz w:val="14"/>
              </w:rPr>
              <w:t>Rezultatas</w:t>
            </w:r>
          </w:p>
        </w:tc>
        <w:tc>
          <w:tcPr>
            <w:tcW w:type="dxa" w:w="3138"/>
            <w:tcBorders>
              <w:top w:val="nil"/>
              <w:left w:val="nil"/>
              <w:bottom w:val="single" w:sz="8" w:color="12355B" w:space="0"/>
              <w:right w:val="nil"/>
            </w:tcBorders>
          </w:tcPr>
          <w:p>
            <w:pPr>
              <w:spacing w:before="0" w:after="0"/>
            </w:pPr>
            <w:r>
              <w:rPr>
                <w:b/>
                <w:caps/>
                <w:color w:val="667085"/>
                <w:sz w:val="14"/>
              </w:rPr>
              <w:t>Kas pasikeitė ir kodėl</w:t>
            </w:r>
          </w:p>
        </w:tc>
        <w:tc>
          <w:tcPr>
            <w:tcW w:type="dxa" w:w="1345"/>
            <w:tcBorders>
              <w:top w:val="nil"/>
              <w:left w:val="nil"/>
              <w:bottom w:val="single" w:sz="8" w:color="12355B" w:space="0"/>
              <w:right w:val="nil"/>
            </w:tcBorders>
          </w:tcPr>
          <w:p>
            <w:pPr>
              <w:spacing w:before="0" w:after="0"/>
            </w:pPr>
            <w:r>
              <w:rPr>
                <w:b/>
                <w:caps/>
                <w:color w:val="667085"/>
                <w:sz w:val="14"/>
              </w:rPr>
              <w:t>Būsena</w:t>
            </w:r>
          </w:p>
        </w:tc>
      </w:tr>
      <w:tr>
        <w:tc>
          <w:tcPr>
            <w:tcW w:type="dxa" w:w="2578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„2025 m. rezultatai ir 2026 m. perspektyvos leidžia tęsti ir viršyti dividendų politiką“ (2026 m. vasaris)</w:t>
            </w:r>
          </w:p>
        </w:tc>
        <w:tc>
          <w:tcPr>
            <w:tcW w:type="dxa" w:w="2578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Išmokėta 85 % pelno (politika ≥70 %)</w:t>
            </w:r>
            <w:hyperlink r:id="rId17">
              <w:r>
                <w:rPr>
                  <w:color w:val="2A78D6"/>
                  <w:vertAlign w:val="superscript"/>
                  <w:sz w:val="14"/>
                </w:rPr>
                <w:t xml:space="preserve">9</w:t>
              </w:r>
            </w:hyperlink>
            <w:r>
              <w:rPr>
                <w:color w:val="2A78D6"/>
                <w:vertAlign w:val="superscript"/>
              </w:rPr>
              <w:t>,</w:t>
            </w:r>
            <w:hyperlink r:id="rId13">
              <w:r>
                <w:rPr>
                  <w:color w:val="2A78D6"/>
                  <w:vertAlign w:val="superscript"/>
                  <w:sz w:val="14"/>
                </w:rPr>
                <w:t xml:space="preserve">11</w:t>
              </w:r>
            </w:hyperlink>
          </w:p>
        </w:tc>
        <w:tc>
          <w:tcPr>
            <w:tcW w:type="dxa" w:w="3138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Įvykdyta: išmokėta 85 % pelno, kai politika – ≥70 %. Tačiau 2026 m. 6 mėn. pelnas sumažėjo iki 6,0 mln. EUR (10,3 mln.) dėl kuro ir remonto sąnaudų bei mažesnių skystų krovinių, todėl kitų metų dividendų bazė gali būti mažesnė</w:t>
            </w:r>
            <w:hyperlink r:id="rId13">
              <w:r>
                <w:rPr>
                  <w:color w:val="2A78D6"/>
                  <w:vertAlign w:val="superscript"/>
                  <w:sz w:val="14"/>
                </w:rPr>
                <w:t xml:space="preserve">2</w:t>
              </w:r>
            </w:hyperlink>
            <w:r>
              <w:rPr>
                <w:color w:val="2A78D6"/>
                <w:vertAlign w:val="superscript"/>
              </w:rPr>
              <w:t>,</w:t>
            </w:r>
            <w:hyperlink r:id="rId14">
              <w:r>
                <w:rPr>
                  <w:color w:val="2A78D6"/>
                  <w:vertAlign w:val="superscript"/>
                  <w:sz w:val="14"/>
                </w:rPr>
                <w:t xml:space="preserve">4</w:t>
              </w:r>
            </w:hyperlink>
            <w:r>
              <w:rPr>
                <w:b w:val="0"/>
                <w:sz w:val="17"/>
              </w:rPr>
              <w:t>.</w:t>
            </w:r>
          </w:p>
        </w:tc>
        <w:tc>
          <w:tcPr>
            <w:tcW w:type="dxa" w:w="1345"/>
            <w:tcBorders>
              <w:top w:val="nil"/>
              <w:left w:val="nil"/>
              <w:bottom w:val="single" w:sz="4" w:color="E6EAF0" w:space="0"/>
              <w:right w:val="nil"/>
            </w:tcBorders>
            <w:shd w:val="clear" w:color="auto" w:fill="E3F3E8"/>
          </w:tcPr>
          <w:p>
            <w:pPr>
              <w:spacing w:before="0" w:after="0"/>
            </w:pPr>
            <w:r>
              <w:rPr>
                <w:b/>
                <w:sz w:val="17"/>
              </w:rPr>
              <w:t>Įvykdyta</w:t>
            </w:r>
          </w:p>
        </w:tc>
      </w:tr>
      <w:tr>
        <w:tc>
          <w:tcPr>
            <w:tcW w:type="dxa" w:w="2578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1 ir 2 apimties emisijos −55 % iki 2030 m. (bazė 2019 m. – 33 086 t CO2e), klimatui neutrali veikla iki 2050 m.</w:t>
            </w:r>
          </w:p>
        </w:tc>
        <w:tc>
          <w:tcPr>
            <w:tcW w:type="dxa" w:w="2578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2025 m. – 19 261 t CO2e (−41,8 % nuo 2019 m.; mūsų skaičiavimas)</w:t>
            </w:r>
            <w:hyperlink r:id="rId19">
              <w:r>
                <w:rPr>
                  <w:color w:val="2A78D6"/>
                  <w:vertAlign w:val="superscript"/>
                  <w:sz w:val="14"/>
                </w:rPr>
                <w:t xml:space="preserve">13</w:t>
              </w:r>
            </w:hyperlink>
          </w:p>
        </w:tc>
        <w:tc>
          <w:tcPr>
            <w:tcW w:type="dxa" w:w="3138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Vykdoma: iki 2025 m. pasiekta −41,8 %; iki 2030 m. reikia dar apie 13 p. p. (mūsų skaičiavimas)</w:t>
            </w:r>
            <w:hyperlink r:id="rId19">
              <w:r>
                <w:rPr>
                  <w:color w:val="2A78D6"/>
                  <w:vertAlign w:val="superscript"/>
                  <w:sz w:val="14"/>
                </w:rPr>
                <w:t xml:space="preserve">13</w:t>
              </w:r>
            </w:hyperlink>
            <w:r>
              <w:rPr>
                <w:b w:val="0"/>
                <w:sz w:val="17"/>
              </w:rPr>
              <w:t>.</w:t>
            </w:r>
          </w:p>
        </w:tc>
        <w:tc>
          <w:tcPr>
            <w:tcW w:type="dxa" w:w="1345"/>
            <w:tcBorders>
              <w:top w:val="nil"/>
              <w:left w:val="nil"/>
              <w:bottom w:val="single" w:sz="4" w:color="E6EAF0" w:space="0"/>
              <w:right w:val="nil"/>
            </w:tcBorders>
            <w:shd w:val="clear" w:color="auto" w:fill="EAF1F8"/>
          </w:tcPr>
          <w:p>
            <w:pPr>
              <w:spacing w:before="0" w:after="0"/>
            </w:pPr>
            <w:r>
              <w:rPr>
                <w:b/>
                <w:sz w:val="17"/>
              </w:rPr>
              <w:t>Dar vykdoma</w:t>
            </w:r>
          </w:p>
        </w:tc>
      </w:tr>
      <w:tr>
        <w:tc>
          <w:tcPr>
            <w:tcW w:type="dxa" w:w="2578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Perspektyvos (2026-08): naujos ro-ro ir konteinerių linijos, Muuga pramonės parkas, Senojo miesto uosto nekilnojamojo turto konkursas</w:t>
            </w:r>
          </w:p>
        </w:tc>
        <w:tc>
          <w:tcPr>
            <w:tcW w:type="dxa" w:w="2578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Nauja – vertinti kitoje apžvalgoje</w:t>
            </w:r>
            <w:hyperlink r:id="rId20">
              <w:r>
                <w:rPr>
                  <w:color w:val="2A78D6"/>
                  <w:vertAlign w:val="superscript"/>
                  <w:sz w:val="14"/>
                </w:rPr>
                <w:t xml:space="preserve">14</w:t>
              </w:r>
            </w:hyperlink>
          </w:p>
        </w:tc>
        <w:tc>
          <w:tcPr>
            <w:tcW w:type="dxa" w:w="3138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Nauja 2026-08 perspektyvoje; dar nėra su kuo lyginti</w:t>
            </w:r>
            <w:hyperlink r:id="rId20">
              <w:r>
                <w:rPr>
                  <w:color w:val="2A78D6"/>
                  <w:vertAlign w:val="superscript"/>
                  <w:sz w:val="14"/>
                </w:rPr>
                <w:t xml:space="preserve">14</w:t>
              </w:r>
            </w:hyperlink>
            <w:r>
              <w:rPr>
                <w:b w:val="0"/>
                <w:sz w:val="17"/>
              </w:rPr>
              <w:t>.</w:t>
            </w:r>
          </w:p>
        </w:tc>
        <w:tc>
          <w:tcPr>
            <w:tcW w:type="dxa" w:w="1345"/>
            <w:tcBorders>
              <w:top w:val="nil"/>
              <w:left w:val="nil"/>
              <w:bottom w:val="single" w:sz="4" w:color="E6EAF0" w:space="0"/>
              <w:right w:val="nil"/>
            </w:tcBorders>
            <w:shd w:val="clear" w:color="auto" w:fill="EAF1F8"/>
          </w:tcPr>
          <w:p>
            <w:pPr>
              <w:spacing w:before="0" w:after="0"/>
            </w:pPr>
            <w:r>
              <w:rPr>
                <w:b/>
                <w:sz w:val="17"/>
              </w:rPr>
              <w:t>Dar vykdoma</w:t>
            </w:r>
          </w:p>
        </w:tc>
      </w:tr>
    </w:tbl>
    <w:p>
      <w:pPr>
        <w:spacing w:before="0" w:after="40"/>
      </w:pPr>
    </w:p>
    <w:p>
      <w:pPr>
        <w:keepNext/>
        <w:pBdr>
          <w:bottom w:val="single" w:sz="8" w:color="12355B" w:space="4"/>
        </w:pBdr>
        <w:tabs>
          <w:tab w:pos="482" w:val="left"/>
        </w:tabs>
        <w:spacing w:before="360" w:after="160"/>
      </w:pPr>
      <w:r>
        <w:rPr>
          <w:b/>
          <w:color w:val="2A78D6"/>
          <w:sz w:val="18"/>
        </w:rPr>
        <w:t>06</w:t>
        <w:tab/>
      </w:r>
      <w:r>
        <w:rPr>
          <w:b/>
          <w:color w:val="12355B"/>
          <w:sz w:val="28"/>
        </w:rPr>
        <w:t>Informacija investuotojui ir išvados</w:t>
      </w:r>
    </w:p>
    <w:p>
      <w:pPr>
        <w:tabs>
          <w:tab w:pos="255" w:val="left"/>
        </w:tabs>
        <w:spacing w:before="0" w:after="80"/>
        <w:ind w:left="255" w:hanging="255"/>
      </w:pPr>
      <w:r>
        <w:rPr>
          <w:b/>
          <w:color w:val="2A78D6"/>
          <w:sz w:val="20"/>
        </w:rPr>
        <w:t>▪</w:t>
        <w:tab/>
      </w:r>
      <w:r>
        <w:rPr>
          <w:b/>
        </w:rPr>
        <w:t>Turima priemonė:</w:t>
      </w:r>
      <w:r>
        <w:rPr>
          <w:b w:val="0"/>
        </w:rPr>
        <w:t xml:space="preserve"> akcijos (TSM1T, Nasdaq Tallinn). Obligacijų nėra; skolinimasis – paskolos (173,4 mln. EUR, iš jų 93,1 mln. trumpalaikės)</w:t>
      </w:r>
      <w:hyperlink r:id="rId13">
        <w:r>
          <w:rPr>
            <w:color w:val="2A78D6"/>
            <w:vertAlign w:val="superscript"/>
            <w:sz w:val="17"/>
          </w:rPr>
          <w:t xml:space="preserve">2</w:t>
        </w:r>
      </w:hyperlink>
      <w:r>
        <w:rPr>
          <w:b w:val="0"/>
        </w:rPr>
        <w:t>.</w:t>
      </w:r>
    </w:p>
    <w:p>
      <w:pPr>
        <w:tabs>
          <w:tab w:pos="255" w:val="left"/>
        </w:tabs>
        <w:spacing w:before="0" w:after="80"/>
        <w:ind w:left="255" w:hanging="255"/>
      </w:pPr>
      <w:r>
        <w:rPr>
          <w:b/>
          <w:color w:val="2A78D6"/>
          <w:sz w:val="20"/>
        </w:rPr>
        <w:t>▪</w:t>
        <w:tab/>
      </w:r>
      <w:r>
        <w:rPr>
          <w:b/>
        </w:rPr>
        <w:t>Dividendų bazė:</w:t>
      </w:r>
      <w:r>
        <w:rPr>
          <w:b w:val="0"/>
        </w:rPr>
        <w:t xml:space="preserve"> dividendai skaičiuojami nuo praėjusių metų pelno; 6 mėn. pelnas 6,0 mln. EUR (10,3 mln.) – jei tendencija tęsis, 2027 m. dividendų bazė bus mažesnė</w:t>
      </w:r>
      <w:hyperlink r:id="rId13">
        <w:r>
          <w:rPr>
            <w:color w:val="2A78D6"/>
            <w:vertAlign w:val="superscript"/>
            <w:sz w:val="17"/>
          </w:rPr>
          <w:t xml:space="preserve">2</w:t>
        </w:r>
      </w:hyperlink>
      <w:r>
        <w:rPr>
          <w:color w:val="2A78D6"/>
          <w:vertAlign w:val="superscript"/>
        </w:rPr>
        <w:t>,</w:t>
      </w:r>
      <w:hyperlink r:id="rId14">
        <w:r>
          <w:rPr>
            <w:color w:val="2A78D6"/>
            <w:vertAlign w:val="superscript"/>
            <w:sz w:val="17"/>
          </w:rPr>
          <w:t xml:space="preserve">4</w:t>
        </w:r>
      </w:hyperlink>
      <w:r>
        <w:rPr>
          <w:b w:val="0"/>
        </w:rPr>
        <w:t>.</w:t>
      </w:r>
    </w:p>
    <w:p>
      <w:pPr>
        <w:tabs>
          <w:tab w:pos="255" w:val="left"/>
        </w:tabs>
        <w:spacing w:before="0" w:after="80"/>
        <w:ind w:left="255" w:hanging="255"/>
      </w:pPr>
      <w:r>
        <w:rPr>
          <w:b/>
          <w:color w:val="2A78D6"/>
          <w:sz w:val="20"/>
        </w:rPr>
        <w:t>▪</w:t>
        <w:tab/>
      </w:r>
      <w:r>
        <w:rPr>
          <w:b/>
        </w:rPr>
        <w:t>93,1 mln. EUR paskolų – trumpalaikės:</w:t>
      </w:r>
      <w:r>
        <w:rPr>
          <w:b w:val="0"/>
        </w:rPr>
        <w:t xml:space="preserve"> stebėti refinansavimą</w:t>
      </w:r>
      <w:hyperlink r:id="rId13">
        <w:r>
          <w:rPr>
            <w:color w:val="2A78D6"/>
            <w:vertAlign w:val="superscript"/>
            <w:sz w:val="17"/>
          </w:rPr>
          <w:t xml:space="preserve">2</w:t>
        </w:r>
      </w:hyperlink>
      <w:r>
        <w:rPr>
          <w:b w:val="0"/>
        </w:rPr>
        <w:t>.</w:t>
      </w:r>
    </w:p>
    <w:p>
      <w:pPr>
        <w:tabs>
          <w:tab w:pos="255" w:val="left"/>
        </w:tabs>
        <w:spacing w:before="0" w:after="80"/>
        <w:ind w:left="255" w:hanging="255"/>
      </w:pPr>
      <w:r>
        <w:rPr>
          <w:b/>
          <w:color w:val="2A78D6"/>
          <w:sz w:val="20"/>
        </w:rPr>
        <w:t>▪</w:t>
        <w:tab/>
      </w:r>
      <w:r>
        <w:rPr>
          <w:b/>
        </w:rPr>
        <w:t>Išvada:</w:t>
      </w:r>
      <w:r>
        <w:rPr>
          <w:b w:val="0"/>
        </w:rPr>
        <w:t xml:space="preserve"> balansas tvirtas, skola stabili, tačiau 2026 m. pelningumas mažėja dėl kuro ir remonto sąnaudų bei mažesnių skystų krovinių. Stebėti: 9 mėn. ataskaitą, keltų paslaugų sutartį, teismo bylos baigtį.</w:t>
      </w:r>
    </w:p>
    <w:p>
      <w:pPr>
        <w:keepNext/>
        <w:pBdr>
          <w:bottom w:val="single" w:sz="8" w:color="12355B" w:space="4"/>
        </w:pBdr>
        <w:tabs>
          <w:tab w:pos="482" w:val="left"/>
        </w:tabs>
        <w:spacing w:before="360" w:after="160"/>
      </w:pPr>
      <w:r>
        <w:rPr>
          <w:b/>
          <w:color w:val="2A78D6"/>
          <w:sz w:val="18"/>
        </w:rPr>
        <w:t>07</w:t>
        <w:tab/>
      </w:r>
      <w:r>
        <w:rPr>
          <w:b/>
          <w:color w:val="12355B"/>
          <w:sz w:val="28"/>
        </w:rPr>
        <w:t>Rinka ir aplinka</w:t>
      </w:r>
    </w:p>
    <w:p>
      <w:pPr>
        <w:tabs>
          <w:tab w:pos="255" w:val="left"/>
        </w:tabs>
        <w:spacing w:before="0" w:after="80"/>
        <w:ind w:left="255" w:hanging="255"/>
      </w:pPr>
      <w:r>
        <w:rPr>
          <w:b/>
          <w:color w:val="2A78D6"/>
          <w:sz w:val="20"/>
        </w:rPr>
        <w:t>▪</w:t>
        <w:tab/>
      </w:r>
      <w:r>
        <w:rPr>
          <w:b/>
        </w:rPr>
        <w:t>Kuras ir geopolitika:</w:t>
      </w:r>
      <w:r>
        <w:rPr>
          <w:b w:val="0"/>
        </w:rPr>
        <w:t xml:space="preserve"> veiklos pelnas –25,7 % iki 13,6 mln. EUR daugiausia dėl brangesnio kuro – kuro sąnaudos +47,6 % (+1,4 mln. EUR), sunkesnės ledo sąlygos didino keltų kuro sąnaudas</w:t>
      </w:r>
      <w:hyperlink r:id="rId13">
        <w:r>
          <w:rPr>
            <w:color w:val="2A78D6"/>
            <w:vertAlign w:val="superscript"/>
            <w:sz w:val="17"/>
          </w:rPr>
          <w:t xml:space="preserve">15</w:t>
        </w:r>
      </w:hyperlink>
      <w:r>
        <w:rPr>
          <w:b w:val="0"/>
        </w:rPr>
        <w:t>. Bendrovė tai sieja su JAV ir Irano konfliktu bei Hormuzo sąsiaurio blokada</w:t>
      </w:r>
      <w:hyperlink r:id="rId13">
        <w:r>
          <w:rPr>
            <w:color w:val="2A78D6"/>
            <w:vertAlign w:val="superscript"/>
            <w:sz w:val="17"/>
          </w:rPr>
          <w:t xml:space="preserve">16</w:t>
        </w:r>
      </w:hyperlink>
      <w:r>
        <w:rPr>
          <w:b w:val="0"/>
        </w:rPr>
        <w:t>.</w:t>
      </w:r>
    </w:p>
    <w:p>
      <w:pPr>
        <w:tabs>
          <w:tab w:pos="255" w:val="left"/>
        </w:tabs>
        <w:spacing w:before="0" w:after="80"/>
        <w:ind w:left="255" w:hanging="255"/>
      </w:pPr>
      <w:r>
        <w:rPr>
          <w:b/>
          <w:color w:val="2A78D6"/>
          <w:sz w:val="20"/>
        </w:rPr>
        <w:t>▪</w:t>
        <w:tab/>
      </w:r>
      <w:r>
        <w:rPr>
          <w:b/>
        </w:rPr>
        <w:t>Kroviniai ir keleiviai:</w:t>
      </w:r>
      <w:r>
        <w:rPr>
          <w:b w:val="0"/>
        </w:rPr>
        <w:t xml:space="preserve"> krovinių –5,0 % iki 6,5 mln. t daugiausia dėl skystųjų krovinių (–33,8 %)</w:t>
      </w:r>
      <w:hyperlink r:id="rId13">
        <w:r>
          <w:rPr>
            <w:color w:val="2A78D6"/>
            <w:vertAlign w:val="superscript"/>
            <w:sz w:val="17"/>
          </w:rPr>
          <w:t xml:space="preserve">17</w:t>
        </w:r>
      </w:hyperlink>
      <w:r>
        <w:rPr>
          <w:b w:val="0"/>
        </w:rPr>
        <w:t>; Rusijos karinė veikla Ukrainoje daugiausia veikia krovinių verslą</w:t>
      </w:r>
      <w:hyperlink r:id="rId13">
        <w:r>
          <w:rPr>
            <w:color w:val="2A78D6"/>
            <w:vertAlign w:val="superscript"/>
            <w:sz w:val="17"/>
          </w:rPr>
          <w:t xml:space="preserve">16</w:t>
        </w:r>
      </w:hyperlink>
      <w:r>
        <w:rPr>
          <w:b w:val="0"/>
        </w:rPr>
        <w:t>. Keleivių –2,0 % dėl planinio „Finlandia“ keltų remonto, kruizinių keleivių +47,8 %</w:t>
      </w:r>
      <w:hyperlink r:id="rId13">
        <w:r>
          <w:rPr>
            <w:color w:val="2A78D6"/>
            <w:vertAlign w:val="superscript"/>
            <w:sz w:val="17"/>
          </w:rPr>
          <w:t xml:space="preserve">18</w:t>
        </w:r>
      </w:hyperlink>
      <w:r>
        <w:rPr>
          <w:b w:val="0"/>
        </w:rPr>
        <w:t>.</w:t>
      </w:r>
    </w:p>
    <w:p>
      <w:pPr>
        <w:tabs>
          <w:tab w:pos="255" w:val="left"/>
        </w:tabs>
        <w:spacing w:before="0" w:after="80"/>
        <w:ind w:left="255" w:hanging="255"/>
      </w:pPr>
      <w:r>
        <w:rPr>
          <w:b/>
          <w:color w:val="2A78D6"/>
          <w:sz w:val="20"/>
        </w:rPr>
        <w:t>▪</w:t>
        <w:tab/>
      </w:r>
      <w:r>
        <w:rPr>
          <w:b/>
        </w:rPr>
        <w:t>Pajamos augo</w:t>
      </w:r>
      <w:r>
        <w:rPr>
          <w:b w:val="0"/>
        </w:rPr>
        <w:t xml:space="preserve"> 2,4 % iki 59,3 mln. EUR dėl daugiau ledlaužio „Botnica“ frachto dienų ir didesnių elektros bei keltų paslaugų pajamų</w:t>
      </w:r>
      <w:hyperlink r:id="rId13">
        <w:r>
          <w:rPr>
            <w:color w:val="2A78D6"/>
            <w:vertAlign w:val="superscript"/>
            <w:sz w:val="17"/>
          </w:rPr>
          <w:t xml:space="preserve">17</w:t>
        </w:r>
      </w:hyperlink>
      <w:r>
        <w:rPr>
          <w:b w:val="0"/>
        </w:rPr>
        <w:t>. Perspektyvoje vadovybė mato daugiau kruizinių laivų, naujas ro-ro ir konteinerių linijas</w:t>
      </w:r>
      <w:hyperlink r:id="rId20">
        <w:r>
          <w:rPr>
            <w:color w:val="2A78D6"/>
            <w:vertAlign w:val="superscript"/>
            <w:sz w:val="17"/>
          </w:rPr>
          <w:t xml:space="preserve">14</w:t>
        </w:r>
      </w:hyperlink>
      <w:r>
        <w:rPr>
          <w:b w:val="0"/>
        </w:rPr>
        <w:t>.</w:t>
      </w:r>
    </w:p>
    <w:tbl>
      <w:tblPr>
        <w:tblW w:w="9639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70" w:type="dxa"/>
          <w:left w:w="100" w:type="dxa"/>
          <w:bottom w:w="70" w:type="dxa"/>
          <w:right w:w="100" w:type="dxa"/>
        </w:tblCellMar>
        <w:tblLook w:firstColumn="1" w:firstRow="1" w:lastColumn="0" w:lastRow="0" w:noHBand="0" w:noVBand="1" w:val="04A0"/>
      </w:tblPr>
      <w:tblGrid>
        <w:gridCol w:w="3515"/>
        <w:gridCol w:w="1814"/>
        <w:gridCol w:w="1360"/>
        <w:gridCol w:w="1360"/>
        <w:gridCol w:w="1587"/>
      </w:tblGrid>
      <w:tr>
        <w:tc>
          <w:tcPr>
            <w:tcW w:type="dxa" w:w="3515"/>
            <w:tcBorders>
              <w:top w:val="nil"/>
              <w:left w:val="nil"/>
              <w:bottom w:val="single" w:sz="8" w:color="12355B" w:space="0"/>
              <w:right w:val="nil"/>
            </w:tcBorders>
          </w:tcPr>
          <w:p>
            <w:pPr>
              <w:spacing w:before="0" w:after="0"/>
            </w:pPr>
            <w:r>
              <w:rPr>
                <w:b/>
                <w:caps/>
                <w:color w:val="667085"/>
                <w:sz w:val="14"/>
              </w:rPr>
            </w:r>
          </w:p>
        </w:tc>
        <w:tc>
          <w:tcPr>
            <w:tcW w:type="dxa" w:w="1814"/>
            <w:tcBorders>
              <w:top w:val="nil"/>
              <w:left w:val="nil"/>
              <w:bottom w:val="single" w:sz="8" w:color="12355B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/>
                <w:caps/>
                <w:color w:val="667085"/>
                <w:sz w:val="14"/>
              </w:rPr>
              <w:t>Dabar</w:t>
            </w:r>
          </w:p>
        </w:tc>
        <w:tc>
          <w:tcPr>
            <w:tcW w:type="dxa" w:w="1361"/>
            <w:tcBorders>
              <w:top w:val="nil"/>
              <w:left w:val="nil"/>
              <w:bottom w:val="single" w:sz="8" w:color="12355B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/>
                <w:caps/>
                <w:color w:val="667085"/>
                <w:sz w:val="14"/>
              </w:rPr>
              <w:t>Prieš 3 mėn.</w:t>
            </w:r>
          </w:p>
        </w:tc>
        <w:tc>
          <w:tcPr>
            <w:tcW w:type="dxa" w:w="1361"/>
            <w:tcBorders>
              <w:top w:val="nil"/>
              <w:left w:val="nil"/>
              <w:bottom w:val="single" w:sz="8" w:color="12355B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/>
                <w:caps/>
                <w:color w:val="667085"/>
                <w:sz w:val="14"/>
              </w:rPr>
              <w:t>Prieš 12 mėn.</w:t>
            </w:r>
          </w:p>
        </w:tc>
        <w:tc>
          <w:tcPr>
            <w:tcW w:type="dxa" w:w="1587"/>
            <w:tcBorders>
              <w:top w:val="nil"/>
              <w:left w:val="nil"/>
              <w:bottom w:val="single" w:sz="8" w:color="12355B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/>
                <w:caps/>
                <w:color w:val="667085"/>
                <w:sz w:val="14"/>
              </w:rPr>
              <w:t>Pokytis per 12 mėn.</w:t>
            </w:r>
          </w:p>
        </w:tc>
      </w:tr>
      <w:tr>
        <w:tc>
          <w:tcPr>
            <w:tcW w:type="dxa" w:w="3515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ECB indėlių palūkanų norma</w:t>
            </w:r>
          </w:p>
        </w:tc>
        <w:tc>
          <w:tcPr>
            <w:tcW w:type="dxa" w:w="1814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2,50 % (2026-09)</w:t>
            </w:r>
          </w:p>
        </w:tc>
        <w:tc>
          <w:tcPr>
            <w:tcW w:type="dxa" w:w="1361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2,25 %</w:t>
            </w:r>
          </w:p>
        </w:tc>
        <w:tc>
          <w:tcPr>
            <w:tcW w:type="dxa" w:w="1361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–</w:t>
            </w:r>
          </w:p>
        </w:tc>
        <w:tc>
          <w:tcPr>
            <w:tcW w:type="dxa" w:w="158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–</w:t>
            </w:r>
          </w:p>
        </w:tc>
      </w:tr>
      <w:tr>
        <w:tc>
          <w:tcPr>
            <w:tcW w:type="dxa" w:w="3515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3 mėn. Euribor</w:t>
            </w:r>
          </w:p>
        </w:tc>
        <w:tc>
          <w:tcPr>
            <w:tcW w:type="dxa" w:w="1814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2,64 % (2026-09)</w:t>
            </w:r>
          </w:p>
        </w:tc>
        <w:tc>
          <w:tcPr>
            <w:tcW w:type="dxa" w:w="1361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2,34 %</w:t>
            </w:r>
          </w:p>
        </w:tc>
        <w:tc>
          <w:tcPr>
            <w:tcW w:type="dxa" w:w="1361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2,03 %</w:t>
            </w:r>
          </w:p>
        </w:tc>
        <w:tc>
          <w:tcPr>
            <w:tcW w:type="dxa" w:w="158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▲ 0,61 p. p.</w:t>
            </w:r>
          </w:p>
        </w:tc>
      </w:tr>
      <w:tr>
        <w:tc>
          <w:tcPr>
            <w:tcW w:type="dxa" w:w="3515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6 mėn. Euribor</w:t>
            </w:r>
          </w:p>
        </w:tc>
        <w:tc>
          <w:tcPr>
            <w:tcW w:type="dxa" w:w="1814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2,92 % (2026-09)</w:t>
            </w:r>
          </w:p>
        </w:tc>
        <w:tc>
          <w:tcPr>
            <w:tcW w:type="dxa" w:w="1361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2,60 %</w:t>
            </w:r>
          </w:p>
        </w:tc>
        <w:tc>
          <w:tcPr>
            <w:tcW w:type="dxa" w:w="1361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2,10 %</w:t>
            </w:r>
          </w:p>
        </w:tc>
        <w:tc>
          <w:tcPr>
            <w:tcW w:type="dxa" w:w="158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▲ 0,82 p. p.</w:t>
            </w:r>
          </w:p>
        </w:tc>
      </w:tr>
      <w:tr>
        <w:tc>
          <w:tcPr>
            <w:tcW w:type="dxa" w:w="3515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12 mėn. Euribor</w:t>
            </w:r>
          </w:p>
        </w:tc>
        <w:tc>
          <w:tcPr>
            <w:tcW w:type="dxa" w:w="1814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3,25 % (2026-09)</w:t>
            </w:r>
          </w:p>
        </w:tc>
        <w:tc>
          <w:tcPr>
            <w:tcW w:type="dxa" w:w="1361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2,80 %</w:t>
            </w:r>
          </w:p>
        </w:tc>
        <w:tc>
          <w:tcPr>
            <w:tcW w:type="dxa" w:w="1361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2,17 %</w:t>
            </w:r>
          </w:p>
        </w:tc>
        <w:tc>
          <w:tcPr>
            <w:tcW w:type="dxa" w:w="158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▲ 1,08 p. p.</w:t>
            </w:r>
          </w:p>
        </w:tc>
      </w:tr>
      <w:tr>
        <w:tc>
          <w:tcPr>
            <w:tcW w:type="dxa" w:w="3515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Euro zonos AAA vyriausybių 10 m. pajamingumas</w:t>
            </w:r>
          </w:p>
        </w:tc>
        <w:tc>
          <w:tcPr>
            <w:tcW w:type="dxa" w:w="1814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3,37 % (2026-10)</w:t>
            </w:r>
          </w:p>
        </w:tc>
        <w:tc>
          <w:tcPr>
            <w:tcW w:type="dxa" w:w="1361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3,23 %</w:t>
            </w:r>
          </w:p>
        </w:tc>
        <w:tc>
          <w:tcPr>
            <w:tcW w:type="dxa" w:w="1361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2,72 %</w:t>
            </w:r>
          </w:p>
        </w:tc>
        <w:tc>
          <w:tcPr>
            <w:tcW w:type="dxa" w:w="158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▲ 0,65 p. p.</w:t>
            </w:r>
          </w:p>
        </w:tc>
      </w:tr>
      <w:tr>
        <w:tc>
          <w:tcPr>
            <w:tcW w:type="dxa" w:w="3515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Euro zonos infliacija (SVKI, metinė)</w:t>
            </w:r>
          </w:p>
        </w:tc>
        <w:tc>
          <w:tcPr>
            <w:tcW w:type="dxa" w:w="1814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1,90 % (2025-12)</w:t>
            </w:r>
          </w:p>
        </w:tc>
        <w:tc>
          <w:tcPr>
            <w:tcW w:type="dxa" w:w="1361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2,20 %</w:t>
            </w:r>
          </w:p>
        </w:tc>
        <w:tc>
          <w:tcPr>
            <w:tcW w:type="dxa" w:w="1361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2,40 %</w:t>
            </w:r>
          </w:p>
        </w:tc>
        <w:tc>
          <w:tcPr>
            <w:tcW w:type="dxa" w:w="158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▼ 0,50 p. p.</w:t>
            </w:r>
          </w:p>
        </w:tc>
      </w:tr>
    </w:tbl>
    <w:p>
      <w:pPr>
        <w:spacing w:before="0" w:after="40"/>
      </w:pPr>
    </w:p>
    <w:p>
      <w:pPr>
        <w:spacing w:before="40" w:after="60"/>
      </w:pPr>
      <w:r>
        <w:rPr>
          <w:b w:val="0"/>
          <w:color w:val="667085"/>
          <w:sz w:val="16"/>
        </w:rPr>
        <w:t>Euro zonos palūkanos ir infliacija (ECB duomenys, mėnesio pabaigos reikšmė; Euribor ir infliacija – mėnesio vidurkis). Svarbu kintamų palūkanų ir perkainojamoms (reset) obligacijoms bei refinansavimo kaštams.</w:t>
      </w:r>
    </w:p>
    <w:p>
      <w:pPr>
        <w:keepNext/>
        <w:pBdr>
          <w:bottom w:val="single" w:sz="8" w:color="12355B" w:space="4"/>
        </w:pBdr>
        <w:tabs>
          <w:tab w:pos="482" w:val="left"/>
        </w:tabs>
        <w:spacing w:before="360" w:after="160"/>
      </w:pPr>
      <w:r>
        <w:rPr>
          <w:b/>
          <w:color w:val="2A78D6"/>
          <w:sz w:val="18"/>
        </w:rPr>
        <w:t>08</w:t>
        <w:tab/>
      </w:r>
      <w:r>
        <w:rPr>
          <w:b/>
          <w:color w:val="12355B"/>
          <w:sz w:val="28"/>
        </w:rPr>
        <w:t>Ką rašo spauda</w:t>
      </w:r>
    </w:p>
    <w:p>
      <w:pPr>
        <w:spacing w:before="40" w:after="60"/>
      </w:pPr>
      <w:r>
        <w:rPr>
          <w:b w:val="0"/>
          <w:color w:val="667085"/>
          <w:sz w:val="18"/>
        </w:rPr>
        <w:t>Automatinė naujienų paieška (Google News, EE), 2026-07-29 – 2026-10-27: 4 pranešimų.</w:t>
      </w:r>
    </w:p>
    <w:tbl>
      <w:tblPr>
        <w:tblW w:w="9639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80" w:type="dxa"/>
          <w:left w:w="0" w:type="dxa"/>
          <w:bottom w:w="80" w:type="dxa"/>
          <w:right w:w="120" w:type="dxa"/>
        </w:tblCellMar>
        <w:tblLook w:firstColumn="1" w:firstRow="1" w:lastColumn="0" w:lastRow="0" w:noHBand="0" w:noVBand="1" w:val="04A0"/>
      </w:tblPr>
      <w:tblGrid>
        <w:gridCol w:w="1020"/>
        <w:gridCol w:w="1360"/>
        <w:gridCol w:w="7257"/>
      </w:tblGrid>
      <w:tr>
        <w:tc>
          <w:tcPr>
            <w:tcW w:type="dxa" w:w="1020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color w:val="1B2430"/>
                <w:sz w:val="17"/>
              </w:rPr>
              <w:t>2026-10-26</w:t>
            </w:r>
          </w:p>
        </w:tc>
        <w:tc>
          <w:tcPr>
            <w:tcW w:type="dxa" w:w="1361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0"/>
            </w:pPr>
            <w:r>
              <w:rPr>
                <w:b/>
                <w:color w:val="5F6B7A"/>
                <w:sz w:val="14"/>
                <w:shd w:val="clear" w:color="auto" w:fill="F0F2F5"/>
              </w:rPr>
              <w:t xml:space="preserve"> KITA </w:t>
            </w:r>
          </w:p>
        </w:tc>
        <w:tc>
          <w:tcPr>
            <w:tcW w:type="dxa" w:w="7257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0"/>
            </w:pPr>
            <w:hyperlink r:id="rId21">
              <w:r>
                <w:rPr>
                  <w:color w:val="1B2430"/>
                  <w:sz w:val="18"/>
                </w:rPr>
                <w:t xml:space="preserve">Muutused ASi Tallinna Sadam võlakohustustes</w:t>
              </w:r>
            </w:hyperlink>
            <w:r>
              <w:rPr>
                <w:b w:val="0"/>
                <w:color w:val="667085"/>
                <w:sz w:val="15"/>
              </w:rPr>
              <w:t xml:space="preserve">   GlobeNewswire</w:t>
            </w:r>
          </w:p>
        </w:tc>
      </w:tr>
      <w:tr>
        <w:tc>
          <w:tcPr>
            <w:tcW w:type="dxa" w:w="1020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color w:val="1B2430"/>
                <w:sz w:val="17"/>
              </w:rPr>
              <w:t>2026-10-09</w:t>
            </w:r>
          </w:p>
        </w:tc>
        <w:tc>
          <w:tcPr>
            <w:tcW w:type="dxa" w:w="1361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0"/>
            </w:pPr>
            <w:r>
              <w:rPr>
                <w:b/>
                <w:color w:val="5F6B7A"/>
                <w:sz w:val="14"/>
                <w:shd w:val="clear" w:color="auto" w:fill="F0F2F5"/>
              </w:rPr>
              <w:t xml:space="preserve"> KITA </w:t>
            </w:r>
          </w:p>
        </w:tc>
        <w:tc>
          <w:tcPr>
            <w:tcW w:type="dxa" w:w="7257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0"/>
            </w:pPr>
            <w:hyperlink r:id="rId22">
              <w:r>
                <w:rPr>
                  <w:color w:val="1B2430"/>
                  <w:sz w:val="18"/>
                </w:rPr>
                <w:t xml:space="preserve">Tallinna Sadama reisijatearv kvartalis kasvas, kuid kaubamaht langes</w:t>
              </w:r>
            </w:hyperlink>
            <w:r>
              <w:rPr>
                <w:b w:val="0"/>
                <w:color w:val="667085"/>
                <w:sz w:val="15"/>
              </w:rPr>
              <w:t xml:space="preserve">   МК-Эстония</w:t>
            </w:r>
          </w:p>
        </w:tc>
      </w:tr>
      <w:tr>
        <w:tc>
          <w:tcPr>
            <w:tcW w:type="dxa" w:w="1020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color w:val="1B2430"/>
                <w:sz w:val="17"/>
              </w:rPr>
              <w:t>2026-10-09</w:t>
            </w:r>
          </w:p>
        </w:tc>
        <w:tc>
          <w:tcPr>
            <w:tcW w:type="dxa" w:w="1361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0"/>
            </w:pPr>
            <w:r>
              <w:rPr>
                <w:b/>
                <w:color w:val="5F6B7A"/>
                <w:sz w:val="14"/>
                <w:shd w:val="clear" w:color="auto" w:fill="F0F2F5"/>
              </w:rPr>
              <w:t xml:space="preserve"> KITA </w:t>
            </w:r>
          </w:p>
        </w:tc>
        <w:tc>
          <w:tcPr>
            <w:tcW w:type="dxa" w:w="7257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0"/>
            </w:pPr>
            <w:hyperlink r:id="rId23">
              <w:r>
                <w:rPr>
                  <w:color w:val="1B2430"/>
                  <w:sz w:val="18"/>
                </w:rPr>
                <w:t xml:space="preserve">Tallinna Sadama kaubamaht kahanes, reisijate arv pöördus kasvule</w:t>
              </w:r>
            </w:hyperlink>
            <w:r>
              <w:rPr>
                <w:b w:val="0"/>
                <w:color w:val="667085"/>
                <w:sz w:val="15"/>
              </w:rPr>
              <w:t xml:space="preserve">   Logistikauudised</w:t>
            </w:r>
          </w:p>
        </w:tc>
      </w:tr>
      <w:tr>
        <w:tc>
          <w:tcPr>
            <w:tcW w:type="dxa" w:w="1020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color w:val="1B2430"/>
                <w:sz w:val="17"/>
              </w:rPr>
              <w:t>2026-10-09</w:t>
            </w:r>
          </w:p>
        </w:tc>
        <w:tc>
          <w:tcPr>
            <w:tcW w:type="dxa" w:w="1361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0"/>
            </w:pPr>
            <w:r>
              <w:rPr>
                <w:b/>
                <w:color w:val="5F6B7A"/>
                <w:sz w:val="14"/>
                <w:shd w:val="clear" w:color="auto" w:fill="F0F2F5"/>
              </w:rPr>
              <w:t xml:space="preserve"> KITA </w:t>
            </w:r>
          </w:p>
        </w:tc>
        <w:tc>
          <w:tcPr>
            <w:tcW w:type="dxa" w:w="7257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0"/>
            </w:pPr>
            <w:hyperlink r:id="rId24">
              <w:r>
                <w:rPr>
                  <w:color w:val="1B2430"/>
                  <w:sz w:val="18"/>
                </w:rPr>
                <w:t xml:space="preserve">ASi Tallinna Sadam 2026. aasta III kvartali ja 9 kuu tegevusmahud</w:t>
              </w:r>
            </w:hyperlink>
            <w:r>
              <w:rPr>
                <w:b w:val="0"/>
                <w:color w:val="667085"/>
                <w:sz w:val="15"/>
              </w:rPr>
              <w:t xml:space="preserve">   GlobeNewswire</w:t>
            </w:r>
          </w:p>
        </w:tc>
      </w:tr>
    </w:tbl>
    <w:p>
      <w:pPr>
        <w:spacing w:before="0" w:after="40"/>
      </w:pPr>
    </w:p>
    <w:p>
      <w:pPr>
        <w:keepNext/>
        <w:pBdr>
          <w:bottom w:val="single" w:sz="8" w:color="12355B" w:space="4"/>
        </w:pBdr>
        <w:tabs>
          <w:tab w:pos="482" w:val="left"/>
        </w:tabs>
        <w:spacing w:before="360" w:after="160"/>
      </w:pPr>
      <w:r>
        <w:rPr>
          <w:b/>
          <w:color w:val="2A78D6"/>
          <w:sz w:val="18"/>
        </w:rPr>
        <w:t>09</w:t>
        <w:tab/>
      </w:r>
      <w:r>
        <w:rPr>
          <w:b/>
          <w:color w:val="12355B"/>
          <w:sz w:val="28"/>
        </w:rPr>
        <w:t>ESG report</w:t>
      </w:r>
    </w:p>
    <w:p>
      <w:pPr>
        <w:keepNext/>
        <w:shd w:val="clear" w:color="auto" w:fill="EEF3F8"/>
        <w:spacing w:before="200" w:after="80"/>
        <w:ind w:left="85"/>
      </w:pPr>
      <w:r>
        <w:rPr>
          <w:b/>
          <w:caps/>
          <w:color w:val="12355B"/>
          <w:sz w:val="19"/>
        </w:rPr>
        <w:t>Exclusionary screening (companies)</w:t>
      </w:r>
    </w:p>
    <w:tbl>
      <w:tblPr>
        <w:tblW w:w="9639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90" w:type="dxa"/>
          <w:left w:w="0" w:type="dxa"/>
          <w:bottom w:w="110" w:type="dxa"/>
          <w:right w:w="0" w:type="dxa"/>
        </w:tblCellMar>
        <w:tblLook w:firstColumn="1" w:firstRow="1" w:lastColumn="0" w:lastRow="0" w:noHBand="0" w:noVBand="1" w:val="04A0"/>
      </w:tblPr>
      <w:tblGrid>
        <w:gridCol w:w="340"/>
        <w:gridCol w:w="9298"/>
      </w:tblGrid>
      <w:tr>
        <w:tc>
          <w:tcPr>
            <w:tcW w:type="dxa" w:w="340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0"/>
            </w:pPr>
            <w:r>
              <w:rPr>
                <w:rFonts w:ascii="Segoe UI Symbol" w:hAnsi="Segoe UI Symbol"/>
                <w:b w:val="0"/>
                <w:color w:val="1B7F3B"/>
                <w:sz w:val="24"/>
              </w:rPr>
              <w:t>☑</w:t>
            </w:r>
          </w:p>
        </w:tc>
        <w:tc>
          <w:tcPr>
            <w:tcW w:type="dxa" w:w="9298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40"/>
            </w:pPr>
            <w:r>
              <w:rPr>
                <w:b/>
                <w:color w:val="1B2430"/>
                <w:sz w:val="19"/>
              </w:rPr>
              <w:t>Yes, the company is not involved in excluded sectors: controversial and nuclear weapons, tobacco, gambling and restricted sectors in fossil fuel</w:t>
            </w:r>
          </w:p>
          <w:p>
            <w:pPr>
              <w:tabs>
                <w:tab w:pos="198" w:val="left"/>
              </w:tabs>
              <w:spacing w:before="0" w:after="20"/>
              <w:ind w:left="198" w:hanging="198"/>
            </w:pPr>
            <w:r>
              <w:rPr>
                <w:b w:val="0"/>
                <w:color w:val="667085"/>
                <w:sz w:val="18"/>
              </w:rPr>
              <w:t>•</w:t>
              <w:tab/>
            </w:r>
            <w:r>
              <w:rPr>
                <w:b w:val="0"/>
                <w:color w:val="333333"/>
                <w:sz w:val="18"/>
              </w:rPr>
              <w:t>Uosto operatorius, keltų paslaugos, ledlaužis, nekilnojamasis turtas – ginklų, tabako, lošimų, anglies ar naftos žvalgybos veiklos nėra</w:t>
            </w:r>
            <w:hyperlink r:id="rId13">
              <w:r>
                <w:rPr>
                  <w:color w:val="2A78D6"/>
                  <w:vertAlign w:val="superscript"/>
                  <w:sz w:val="15"/>
                </w:rPr>
                <w:t xml:space="preserve">2</w:t>
              </w:r>
            </w:hyperlink>
            <w:r>
              <w:rPr>
                <w:b w:val="0"/>
                <w:color w:val="333333"/>
                <w:sz w:val="18"/>
              </w:rPr>
              <w:t>.</w:t>
            </w:r>
          </w:p>
          <w:p>
            <w:pPr>
              <w:tabs>
                <w:tab w:pos="198" w:val="left"/>
              </w:tabs>
              <w:spacing w:before="0" w:after="20"/>
              <w:ind w:left="198" w:hanging="198"/>
            </w:pPr>
            <w:r>
              <w:rPr>
                <w:b w:val="0"/>
                <w:color w:val="667085"/>
                <w:sz w:val="18"/>
              </w:rPr>
              <w:t>•</w:t>
              <w:tab/>
            </w:r>
            <w:r>
              <w:rPr>
                <w:b w:val="0"/>
                <w:color w:val="333333"/>
                <w:sz w:val="18"/>
              </w:rPr>
              <w:t>Krauna skystus krovinius (naftos produktus), jų kiekis mažėja (−33,8 % per 6 mėn.)</w:t>
            </w:r>
            <w:hyperlink r:id="rId13">
              <w:r>
                <w:rPr>
                  <w:color w:val="2A78D6"/>
                  <w:vertAlign w:val="superscript"/>
                  <w:sz w:val="15"/>
                </w:rPr>
                <w:t xml:space="preserve">2</w:t>
              </w:r>
            </w:hyperlink>
            <w:r>
              <w:rPr>
                <w:b w:val="0"/>
                <w:color w:val="333333"/>
                <w:sz w:val="18"/>
              </w:rPr>
              <w:t>.</w:t>
            </w:r>
          </w:p>
        </w:tc>
      </w:tr>
    </w:tbl>
    <w:tbl>
      <w:tblPr>
        <w:tblW w:w="9639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90" w:type="dxa"/>
          <w:left w:w="0" w:type="dxa"/>
          <w:bottom w:w="110" w:type="dxa"/>
          <w:right w:w="0" w:type="dxa"/>
        </w:tblCellMar>
        <w:tblLook w:firstColumn="1" w:firstRow="1" w:lastColumn="0" w:lastRow="0" w:noHBand="0" w:noVBand="1" w:val="04A0"/>
      </w:tblPr>
      <w:tblGrid>
        <w:gridCol w:w="340"/>
        <w:gridCol w:w="9298"/>
      </w:tblGrid>
      <w:tr>
        <w:tc>
          <w:tcPr>
            <w:tcW w:type="dxa" w:w="340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0"/>
            </w:pPr>
            <w:r>
              <w:rPr>
                <w:rFonts w:ascii="Segoe UI Symbol" w:hAnsi="Segoe UI Symbol"/>
                <w:b w:val="0"/>
                <w:color w:val="1B7F3B"/>
                <w:sz w:val="24"/>
              </w:rPr>
              <w:t>☑</w:t>
            </w:r>
          </w:p>
        </w:tc>
        <w:tc>
          <w:tcPr>
            <w:tcW w:type="dxa" w:w="9298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40"/>
            </w:pPr>
            <w:r>
              <w:rPr>
                <w:b/>
                <w:color w:val="1B2430"/>
                <w:sz w:val="19"/>
              </w:rPr>
              <w:t>Yes, the company does not have red flag/signal related to controversies based on UN Global Compact, OECD Guidelines for Multinational Enterprises or any other relevant principles/standards</w:t>
            </w:r>
          </w:p>
          <w:p>
            <w:pPr>
              <w:tabs>
                <w:tab w:pos="198" w:val="left"/>
              </w:tabs>
              <w:spacing w:before="0" w:after="20"/>
              <w:ind w:left="198" w:hanging="198"/>
            </w:pPr>
            <w:r>
              <w:rPr>
                <w:b w:val="0"/>
                <w:color w:val="667085"/>
                <w:sz w:val="18"/>
              </w:rPr>
              <w:t>•</w:t>
              <w:tab/>
            </w:r>
            <w:r>
              <w:rPr>
                <w:b w:val="0"/>
                <w:color w:val="333333"/>
                <w:sz w:val="18"/>
              </w:rPr>
              <w:t>Su JT Pasauliniu susitarimu ar OECD gairėmis susijusių ginčų nėra.</w:t>
            </w:r>
          </w:p>
          <w:p>
            <w:pPr>
              <w:tabs>
                <w:tab w:pos="198" w:val="left"/>
              </w:tabs>
              <w:spacing w:before="0" w:after="20"/>
              <w:ind w:left="198" w:hanging="198"/>
            </w:pPr>
            <w:r>
              <w:rPr>
                <w:b w:val="0"/>
                <w:color w:val="667085"/>
                <w:sz w:val="18"/>
              </w:rPr>
              <w:t>•</w:t>
              <w:tab/>
            </w:r>
            <w:r>
              <w:rPr>
                <w:b w:val="0"/>
                <w:color w:val="333333"/>
                <w:sz w:val="18"/>
              </w:rPr>
              <w:t>2015 m. kyšininkavimo byla susijusi su buvusiais vadovais</w:t>
            </w:r>
          </w:p>
          <w:p>
            <w:pPr>
              <w:tabs>
                <w:tab w:pos="198" w:val="left"/>
              </w:tabs>
              <w:spacing w:before="0" w:after="20"/>
              <w:ind w:left="198" w:hanging="198"/>
            </w:pPr>
            <w:r>
              <w:rPr>
                <w:b w:val="0"/>
                <w:color w:val="667085"/>
                <w:sz w:val="18"/>
              </w:rPr>
              <w:t>•</w:t>
              <w:tab/>
            </w:r>
            <w:r>
              <w:rPr>
                <w:b w:val="0"/>
                <w:color w:val="333333"/>
                <w:sz w:val="18"/>
              </w:rPr>
              <w:t>Bendrovė joje – nukentėjusioji, ne kaltinamoji</w:t>
            </w:r>
            <w:hyperlink r:id="rId15">
              <w:r>
                <w:rPr>
                  <w:color w:val="2A78D6"/>
                  <w:vertAlign w:val="superscript"/>
                  <w:sz w:val="15"/>
                </w:rPr>
                <w:t xml:space="preserve">7</w:t>
              </w:r>
            </w:hyperlink>
            <w:r>
              <w:rPr>
                <w:color w:val="2A78D6"/>
                <w:vertAlign w:val="superscript"/>
              </w:rPr>
              <w:t>,</w:t>
            </w:r>
            <w:hyperlink r:id="rId16">
              <w:r>
                <w:rPr>
                  <w:color w:val="2A78D6"/>
                  <w:vertAlign w:val="superscript"/>
                  <w:sz w:val="15"/>
                </w:rPr>
                <w:t xml:space="preserve">8</w:t>
              </w:r>
            </w:hyperlink>
            <w:r>
              <w:rPr>
                <w:b w:val="0"/>
                <w:color w:val="333333"/>
                <w:sz w:val="18"/>
              </w:rPr>
              <w:t>.</w:t>
            </w:r>
          </w:p>
        </w:tc>
      </w:tr>
    </w:tbl>
    <w:tbl>
      <w:tblPr>
        <w:tblW w:w="9639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90" w:type="dxa"/>
          <w:left w:w="0" w:type="dxa"/>
          <w:bottom w:w="110" w:type="dxa"/>
          <w:right w:w="0" w:type="dxa"/>
        </w:tblCellMar>
        <w:tblLook w:firstColumn="1" w:firstRow="1" w:lastColumn="0" w:lastRow="0" w:noHBand="0" w:noVBand="1" w:val="04A0"/>
      </w:tblPr>
      <w:tblGrid>
        <w:gridCol w:w="340"/>
        <w:gridCol w:w="9298"/>
      </w:tblGrid>
      <w:tr>
        <w:tc>
          <w:tcPr>
            <w:tcW w:type="dxa" w:w="340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0"/>
            </w:pPr>
            <w:r>
              <w:rPr>
                <w:rFonts w:ascii="Segoe UI Symbol" w:hAnsi="Segoe UI Symbol"/>
                <w:b w:val="0"/>
                <w:color w:val="1B7F3B"/>
                <w:sz w:val="24"/>
              </w:rPr>
              <w:t>☑</w:t>
            </w:r>
          </w:p>
        </w:tc>
        <w:tc>
          <w:tcPr>
            <w:tcW w:type="dxa" w:w="9298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40"/>
            </w:pPr>
            <w:r>
              <w:rPr>
                <w:b/>
                <w:color w:val="1B2430"/>
                <w:sz w:val="19"/>
              </w:rPr>
              <w:t>Yes, the company is not in the list of sanctions (add a screenshot)</w:t>
            </w:r>
          </w:p>
          <w:p>
            <w:pPr>
              <w:tabs>
                <w:tab w:pos="198" w:val="left"/>
              </w:tabs>
              <w:spacing w:before="0" w:after="20"/>
              <w:ind w:left="198" w:hanging="198"/>
            </w:pPr>
            <w:r>
              <w:rPr>
                <w:b w:val="0"/>
                <w:color w:val="667085"/>
                <w:sz w:val="18"/>
              </w:rPr>
              <w:t>•</w:t>
              <w:tab/>
            </w:r>
            <w:r>
              <w:rPr>
                <w:b w:val="0"/>
                <w:color w:val="333333"/>
                <w:sz w:val="18"/>
              </w:rPr>
              <w:t>Nerasta EU, UN, US OFAC konsoliduotuose sankcijų sąrašuose (automatinė patikra 2026-10-27).</w:t>
            </w:r>
          </w:p>
          <w:p>
            <w:pPr>
              <w:spacing w:before="40" w:after="0"/>
            </w:pPr>
            <w:r>
              <w:rPr>
                <w:b/>
                <w:color w:val="333333"/>
                <w:sz w:val="18"/>
              </w:rPr>
              <w:t>Rankinė patikra</w:t>
            </w:r>
          </w:p>
          <w:p>
            <w:pPr>
              <w:tabs>
                <w:tab w:pos="198" w:val="left"/>
              </w:tabs>
              <w:spacing w:before="0" w:after="20"/>
              <w:ind w:left="198" w:hanging="198"/>
            </w:pPr>
            <w:r>
              <w:rPr>
                <w:b w:val="0"/>
                <w:color w:val="667085"/>
                <w:sz w:val="18"/>
              </w:rPr>
              <w:t>•</w:t>
              <w:tab/>
            </w:r>
            <w:r>
              <w:rPr>
                <w:b w:val="0"/>
                <w:color w:val="333333"/>
                <w:sz w:val="18"/>
              </w:rPr>
              <w:t>OFAC sankcijų paieška</w:t>
            </w:r>
            <w:hyperlink r:id="rId25">
              <w:r>
                <w:rPr>
                  <w:color w:val="2A78D6"/>
                  <w:vertAlign w:val="superscript"/>
                  <w:sz w:val="15"/>
                </w:rPr>
                <w:t xml:space="preserve">19</w:t>
              </w:r>
            </w:hyperlink>
          </w:p>
          <w:p>
            <w:pPr>
              <w:tabs>
                <w:tab w:pos="198" w:val="left"/>
              </w:tabs>
              <w:spacing w:before="0" w:after="20"/>
              <w:ind w:left="198" w:hanging="198"/>
            </w:pPr>
            <w:r>
              <w:rPr>
                <w:b w:val="0"/>
                <w:color w:val="667085"/>
                <w:sz w:val="18"/>
              </w:rPr>
              <w:t>•</w:t>
              <w:tab/>
            </w:r>
            <w:r>
              <w:rPr>
                <w:b w:val="0"/>
                <w:color w:val="333333"/>
                <w:sz w:val="18"/>
              </w:rPr>
              <w:t>ES sankcijų žemėlapis</w:t>
            </w:r>
            <w:hyperlink r:id="rId26">
              <w:r>
                <w:rPr>
                  <w:color w:val="2A78D6"/>
                  <w:vertAlign w:val="superscript"/>
                  <w:sz w:val="15"/>
                </w:rPr>
                <w:t xml:space="preserve">20</w:t>
              </w:r>
            </w:hyperlink>
          </w:p>
          <w:p>
            <w:pPr>
              <w:tabs>
                <w:tab w:pos="198" w:val="left"/>
              </w:tabs>
              <w:spacing w:before="0" w:after="20"/>
              <w:ind w:left="198" w:hanging="198"/>
            </w:pPr>
            <w:r>
              <w:rPr>
                <w:b w:val="0"/>
                <w:color w:val="667085"/>
                <w:sz w:val="18"/>
              </w:rPr>
              <w:t>•</w:t>
              <w:tab/>
            </w:r>
            <w:r>
              <w:rPr>
                <w:b w:val="0"/>
                <w:color w:val="333333"/>
                <w:sz w:val="18"/>
              </w:rPr>
              <w:t>SEB eNameChecker (vidinė SEB sistema).</w:t>
            </w:r>
          </w:p>
        </w:tc>
      </w:tr>
    </w:tbl>
    <w:tbl>
      <w:tblPr>
        <w:tblW w:w="9639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90" w:type="dxa"/>
          <w:left w:w="0" w:type="dxa"/>
          <w:bottom w:w="110" w:type="dxa"/>
          <w:right w:w="0" w:type="dxa"/>
        </w:tblCellMar>
        <w:tblLook w:firstColumn="1" w:firstRow="1" w:lastColumn="0" w:lastRow="0" w:noHBand="0" w:noVBand="1" w:val="04A0"/>
      </w:tblPr>
      <w:tblGrid>
        <w:gridCol w:w="340"/>
        <w:gridCol w:w="9298"/>
      </w:tblGrid>
      <w:tr>
        <w:tc>
          <w:tcPr>
            <w:tcW w:type="dxa" w:w="340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0"/>
            </w:pPr>
            <w:r>
              <w:rPr>
                <w:rFonts w:ascii="Segoe UI Symbol" w:hAnsi="Segoe UI Symbol"/>
                <w:b w:val="0"/>
                <w:color w:val="1B7F3B"/>
                <w:sz w:val="24"/>
              </w:rPr>
              <w:t>☑</w:t>
            </w:r>
          </w:p>
        </w:tc>
        <w:tc>
          <w:tcPr>
            <w:tcW w:type="dxa" w:w="9298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40"/>
            </w:pPr>
            <w:r>
              <w:rPr>
                <w:b/>
                <w:color w:val="1B2430"/>
                <w:sz w:val="19"/>
              </w:rPr>
              <w:t>Yes, issues were not identified from adverse media checks (add a screenshot)</w:t>
            </w:r>
          </w:p>
          <w:p>
            <w:pPr>
              <w:tabs>
                <w:tab w:pos="198" w:val="left"/>
              </w:tabs>
              <w:spacing w:before="0" w:after="20"/>
              <w:ind w:left="198" w:hanging="198"/>
            </w:pPr>
            <w:r>
              <w:rPr>
                <w:b w:val="0"/>
                <w:color w:val="667085"/>
                <w:sz w:val="18"/>
              </w:rPr>
              <w:t>•</w:t>
              <w:tab/>
            </w:r>
            <w:r>
              <w:rPr>
                <w:b w:val="0"/>
                <w:color w:val="333333"/>
                <w:sz w:val="18"/>
              </w:rPr>
              <w:t>Automatinė naujienų paieška (estų ir anglų žiniasklaida, paskutinės 30 d., 2026-10-22) naujų neigiamų naujienų nerado.</w:t>
            </w:r>
          </w:p>
          <w:p>
            <w:pPr>
              <w:tabs>
                <w:tab w:pos="198" w:val="left"/>
              </w:tabs>
              <w:spacing w:before="0" w:after="20"/>
              <w:ind w:left="198" w:hanging="198"/>
            </w:pPr>
            <w:r>
              <w:rPr>
                <w:b w:val="0"/>
                <w:color w:val="667085"/>
                <w:sz w:val="18"/>
              </w:rPr>
              <w:t>•</w:t>
              <w:tab/>
            </w:r>
            <w:r>
              <w:rPr>
                <w:b w:val="0"/>
                <w:color w:val="333333"/>
                <w:sz w:val="18"/>
              </w:rPr>
              <w:t>Senesnės publikacijos – apie buvusių vadovų bylą</w:t>
            </w:r>
            <w:hyperlink r:id="rId15">
              <w:r>
                <w:rPr>
                  <w:color w:val="2A78D6"/>
                  <w:vertAlign w:val="superscript"/>
                  <w:sz w:val="15"/>
                </w:rPr>
                <w:t xml:space="preserve">7</w:t>
              </w:r>
            </w:hyperlink>
            <w:r>
              <w:rPr>
                <w:color w:val="2A78D6"/>
                <w:vertAlign w:val="superscript"/>
              </w:rPr>
              <w:t>,</w:t>
            </w:r>
            <w:hyperlink r:id="rId16">
              <w:r>
                <w:rPr>
                  <w:color w:val="2A78D6"/>
                  <w:vertAlign w:val="superscript"/>
                  <w:sz w:val="15"/>
                </w:rPr>
                <w:t xml:space="preserve">8</w:t>
              </w:r>
            </w:hyperlink>
            <w:r>
              <w:rPr>
                <w:b w:val="0"/>
                <w:color w:val="333333"/>
                <w:sz w:val="18"/>
              </w:rPr>
              <w:t>.</w:t>
            </w:r>
          </w:p>
          <w:p>
            <w:pPr>
              <w:tabs>
                <w:tab w:pos="198" w:val="left"/>
              </w:tabs>
              <w:spacing w:before="0" w:after="20"/>
              <w:ind w:left="198" w:hanging="198"/>
            </w:pPr>
            <w:r>
              <w:rPr>
                <w:b w:val="0"/>
                <w:color w:val="667085"/>
                <w:sz w:val="18"/>
              </w:rPr>
              <w:t>•</w:t>
              <w:tab/>
            </w:r>
            <w:r>
              <w:rPr>
                <w:b w:val="0"/>
                <w:color w:val="333333"/>
                <w:sz w:val="18"/>
              </w:rPr>
              <w:t>Naujienų suvestinė 2026-07-29 – 2026-10-27: 4 pranešimų, iš jų su neigiamu žodžiu antraštėje – 0 (plačiau – skiltyje „Ką rašo spauda“).</w:t>
            </w:r>
          </w:p>
        </w:tc>
      </w:tr>
    </w:tbl>
    <w:p>
      <w:pPr>
        <w:spacing w:before="120" w:after="40"/>
      </w:pPr>
      <w:r>
        <w:rPr>
          <w:i/>
          <w:color w:val="333333"/>
          <w:sz w:val="18"/>
        </w:rPr>
        <w:t>In case any red flags, risks, unclarities were identified then additional checks (sanctions screening and adverse media checks) on the company’s Ultimate Beneficial Owners and/or senior management shall be performed.</w:t>
      </w:r>
    </w:p>
    <w:p>
      <w:pPr>
        <w:spacing w:before="120" w:after="40"/>
      </w:pPr>
      <w:r>
        <w:rPr>
          <w:b/>
          <w:sz w:val="19"/>
        </w:rPr>
        <w:t xml:space="preserve">Additional comments: </w:t>
      </w:r>
    </w:p>
    <w:p>
      <w:pPr>
        <w:keepNext/>
        <w:shd w:val="clear" w:color="auto" w:fill="EEF3F8"/>
        <w:spacing w:before="200" w:after="80"/>
        <w:ind w:left="85"/>
      </w:pPr>
      <w:r>
        <w:rPr>
          <w:b/>
          <w:caps/>
          <w:color w:val="12355B"/>
          <w:sz w:val="19"/>
        </w:rPr>
        <w:t>ESG integration and positive screening (positive answers imply higher allocation)</w:t>
      </w:r>
    </w:p>
    <w:tbl>
      <w:tblPr>
        <w:tblW w:w="9639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90" w:type="dxa"/>
          <w:left w:w="0" w:type="dxa"/>
          <w:bottom w:w="110" w:type="dxa"/>
          <w:right w:w="0" w:type="dxa"/>
        </w:tblCellMar>
        <w:tblLook w:firstColumn="1" w:firstRow="1" w:lastColumn="0" w:lastRow="0" w:noHBand="0" w:noVBand="1" w:val="04A0"/>
      </w:tblPr>
      <w:tblGrid>
        <w:gridCol w:w="340"/>
        <w:gridCol w:w="9298"/>
      </w:tblGrid>
      <w:tr>
        <w:tc>
          <w:tcPr>
            <w:tcW w:type="dxa" w:w="340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0"/>
            </w:pPr>
            <w:r>
              <w:rPr>
                <w:rFonts w:ascii="Segoe UI Symbol" w:hAnsi="Segoe UI Symbol"/>
                <w:b w:val="0"/>
                <w:color w:val="1B7F3B"/>
                <w:sz w:val="24"/>
              </w:rPr>
              <w:t>☑</w:t>
            </w:r>
          </w:p>
        </w:tc>
        <w:tc>
          <w:tcPr>
            <w:tcW w:type="dxa" w:w="9298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40"/>
            </w:pPr>
            <w:r>
              <w:rPr>
                <w:b/>
                <w:color w:val="1B2430"/>
                <w:sz w:val="19"/>
              </w:rPr>
              <w:t>Yes, the company is promoting environmental or social characteristics (activities, ESG policy, good ESG rating, etc)</w:t>
            </w:r>
          </w:p>
          <w:p>
            <w:pPr>
              <w:tabs>
                <w:tab w:pos="198" w:val="left"/>
              </w:tabs>
              <w:spacing w:before="0" w:after="20"/>
              <w:ind w:left="198" w:hanging="198"/>
            </w:pPr>
            <w:r>
              <w:rPr>
                <w:b w:val="0"/>
                <w:color w:val="667085"/>
                <w:sz w:val="18"/>
              </w:rPr>
              <w:t>•</w:t>
              <w:tab/>
            </w:r>
            <w:r>
              <w:rPr>
                <w:b w:val="0"/>
                <w:color w:val="333333"/>
                <w:sz w:val="18"/>
              </w:rPr>
              <w:t>Savanoriška 2025 m. tvarumo ataskaita pagal CSRD/ESRS principus</w:t>
            </w:r>
            <w:hyperlink r:id="rId27">
              <w:r>
                <w:rPr>
                  <w:color w:val="2A78D6"/>
                  <w:vertAlign w:val="superscript"/>
                  <w:sz w:val="15"/>
                </w:rPr>
                <w:t xml:space="preserve">21</w:t>
              </w:r>
            </w:hyperlink>
          </w:p>
          <w:p>
            <w:pPr>
              <w:tabs>
                <w:tab w:pos="198" w:val="left"/>
              </w:tabs>
              <w:spacing w:before="0" w:after="20"/>
              <w:ind w:left="198" w:hanging="198"/>
            </w:pPr>
            <w:r>
              <w:rPr>
                <w:b w:val="0"/>
                <w:color w:val="667085"/>
                <w:sz w:val="18"/>
              </w:rPr>
              <w:t>•</w:t>
              <w:tab/>
            </w:r>
            <w:r>
              <w:rPr>
                <w:b w:val="0"/>
                <w:color w:val="333333"/>
                <w:sz w:val="18"/>
              </w:rPr>
              <w:t>Tikslas 90 % atsinaujinančios energijos savo reikmėms</w:t>
            </w:r>
            <w:hyperlink r:id="rId19">
              <w:r>
                <w:rPr>
                  <w:color w:val="2A78D6"/>
                  <w:vertAlign w:val="superscript"/>
                  <w:sz w:val="15"/>
                </w:rPr>
                <w:t xml:space="preserve">22</w:t>
              </w:r>
            </w:hyperlink>
            <w:r>
              <w:rPr>
                <w:b w:val="0"/>
                <w:color w:val="333333"/>
                <w:sz w:val="18"/>
              </w:rPr>
              <w:t>.</w:t>
            </w:r>
          </w:p>
        </w:tc>
      </w:tr>
    </w:tbl>
    <w:tbl>
      <w:tblPr>
        <w:tblW w:w="9639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90" w:type="dxa"/>
          <w:left w:w="0" w:type="dxa"/>
          <w:bottom w:w="110" w:type="dxa"/>
          <w:right w:w="0" w:type="dxa"/>
        </w:tblCellMar>
        <w:tblLook w:firstColumn="1" w:firstRow="1" w:lastColumn="0" w:lastRow="0" w:noHBand="0" w:noVBand="1" w:val="04A0"/>
      </w:tblPr>
      <w:tblGrid>
        <w:gridCol w:w="340"/>
        <w:gridCol w:w="9298"/>
      </w:tblGrid>
      <w:tr>
        <w:tc>
          <w:tcPr>
            <w:tcW w:type="dxa" w:w="340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0"/>
            </w:pPr>
            <w:r>
              <w:rPr>
                <w:rFonts w:ascii="Segoe UI Symbol" w:hAnsi="Segoe UI Symbol"/>
                <w:b w:val="0"/>
                <w:color w:val="1B7F3B"/>
                <w:sz w:val="24"/>
              </w:rPr>
              <w:t>☑</w:t>
            </w:r>
          </w:p>
        </w:tc>
        <w:tc>
          <w:tcPr>
            <w:tcW w:type="dxa" w:w="9298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40"/>
            </w:pPr>
            <w:r>
              <w:rPr>
                <w:b/>
                <w:color w:val="1B2430"/>
                <w:sz w:val="19"/>
              </w:rPr>
              <w:t>Yes, the activities of the company or it’s strategy is aligned with the taxonomy and/or Paris agreement targets (e.g. net zero commitment)</w:t>
            </w:r>
          </w:p>
          <w:p>
            <w:pPr>
              <w:tabs>
                <w:tab w:pos="198" w:val="left"/>
              </w:tabs>
              <w:spacing w:before="0" w:after="20"/>
              <w:ind w:left="198" w:hanging="198"/>
            </w:pPr>
            <w:r>
              <w:rPr>
                <w:b w:val="0"/>
                <w:color w:val="667085"/>
                <w:sz w:val="18"/>
              </w:rPr>
              <w:t>•</w:t>
              <w:tab/>
            </w:r>
            <w:r>
              <w:rPr>
                <w:b w:val="0"/>
                <w:color w:val="333333"/>
                <w:sz w:val="18"/>
              </w:rPr>
              <w:t>Klimatui neutrali veikla iki 2050 m.</w:t>
            </w:r>
          </w:p>
          <w:p>
            <w:pPr>
              <w:tabs>
                <w:tab w:pos="198" w:val="left"/>
              </w:tabs>
              <w:spacing w:before="0" w:after="20"/>
              <w:ind w:left="198" w:hanging="198"/>
            </w:pPr>
            <w:r>
              <w:rPr>
                <w:b w:val="0"/>
                <w:color w:val="667085"/>
                <w:sz w:val="18"/>
              </w:rPr>
              <w:t>•</w:t>
              <w:tab/>
            </w:r>
            <w:r>
              <w:rPr>
                <w:b w:val="0"/>
                <w:color w:val="333333"/>
                <w:sz w:val="18"/>
              </w:rPr>
              <w:t>1+2 apimties emisijos −55 % iki 2030 m., palyginti su 2019 m.</w:t>
            </w:r>
            <w:hyperlink r:id="rId19">
              <w:r>
                <w:rPr>
                  <w:color w:val="2A78D6"/>
                  <w:vertAlign w:val="superscript"/>
                  <w:sz w:val="15"/>
                </w:rPr>
                <w:t xml:space="preserve">22</w:t>
              </w:r>
            </w:hyperlink>
            <w:r>
              <w:rPr>
                <w:b w:val="0"/>
                <w:color w:val="333333"/>
                <w:sz w:val="18"/>
              </w:rPr>
              <w:t>.</w:t>
            </w:r>
          </w:p>
          <w:p>
            <w:pPr>
              <w:tabs>
                <w:tab w:pos="198" w:val="left"/>
              </w:tabs>
              <w:spacing w:before="0" w:after="20"/>
              <w:ind w:left="198" w:hanging="198"/>
            </w:pPr>
            <w:r>
              <w:rPr>
                <w:b w:val="0"/>
                <w:color w:val="667085"/>
                <w:sz w:val="18"/>
              </w:rPr>
              <w:t>•</w:t>
              <w:tab/>
            </w:r>
            <w:r>
              <w:rPr>
                <w:b w:val="0"/>
                <w:color w:val="333333"/>
                <w:sz w:val="18"/>
              </w:rPr>
              <w:t>Pažanga: 2025 m. – 19 261 t CO2e, −41,8 % nuo 2019 m. (mūsų skaičiavimas)</w:t>
            </w:r>
            <w:hyperlink r:id="rId28">
              <w:r>
                <w:rPr>
                  <w:color w:val="2A78D6"/>
                  <w:vertAlign w:val="superscript"/>
                  <w:sz w:val="15"/>
                </w:rPr>
                <w:t xml:space="preserve">23</w:t>
              </w:r>
            </w:hyperlink>
            <w:r>
              <w:rPr>
                <w:b w:val="0"/>
                <w:color w:val="333333"/>
                <w:sz w:val="18"/>
              </w:rPr>
              <w:t>.</w:t>
            </w:r>
          </w:p>
        </w:tc>
      </w:tr>
    </w:tbl>
    <w:tbl>
      <w:tblPr>
        <w:tblW w:w="9639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90" w:type="dxa"/>
          <w:left w:w="0" w:type="dxa"/>
          <w:bottom w:w="110" w:type="dxa"/>
          <w:right w:w="0" w:type="dxa"/>
        </w:tblCellMar>
        <w:tblLook w:firstColumn="1" w:firstRow="1" w:lastColumn="0" w:lastRow="0" w:noHBand="0" w:noVBand="1" w:val="04A0"/>
      </w:tblPr>
      <w:tblGrid>
        <w:gridCol w:w="340"/>
        <w:gridCol w:w="9298"/>
      </w:tblGrid>
      <w:tr>
        <w:tc>
          <w:tcPr>
            <w:tcW w:type="dxa" w:w="340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0"/>
            </w:pPr>
            <w:r>
              <w:rPr>
                <w:rFonts w:ascii="Segoe UI Symbol" w:hAnsi="Segoe UI Symbol"/>
                <w:b w:val="0"/>
                <w:color w:val="1B7F3B"/>
                <w:sz w:val="24"/>
              </w:rPr>
              <w:t>☑</w:t>
            </w:r>
          </w:p>
        </w:tc>
        <w:tc>
          <w:tcPr>
            <w:tcW w:type="dxa" w:w="9298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40"/>
            </w:pPr>
            <w:r>
              <w:rPr>
                <w:b/>
                <w:color w:val="1B2430"/>
                <w:sz w:val="19"/>
              </w:rPr>
              <w:t>Yes, the company does not have yellow flag/signal related to controversies based on UN Global Compact or any other relevant principles/standards</w:t>
            </w:r>
          </w:p>
          <w:p>
            <w:pPr>
              <w:tabs>
                <w:tab w:pos="198" w:val="left"/>
              </w:tabs>
              <w:spacing w:before="0" w:after="20"/>
              <w:ind w:left="198" w:hanging="198"/>
            </w:pPr>
            <w:r>
              <w:rPr>
                <w:b w:val="0"/>
                <w:color w:val="667085"/>
                <w:sz w:val="18"/>
              </w:rPr>
              <w:t>•</w:t>
              <w:tab/>
            </w:r>
            <w:r>
              <w:rPr>
                <w:b w:val="0"/>
                <w:color w:val="333333"/>
                <w:sz w:val="18"/>
              </w:rPr>
              <w:t>Dabartinių geltonų signalų nėra.</w:t>
            </w:r>
          </w:p>
          <w:p>
            <w:pPr>
              <w:tabs>
                <w:tab w:pos="198" w:val="left"/>
              </w:tabs>
              <w:spacing w:before="0" w:after="20"/>
              <w:ind w:left="198" w:hanging="198"/>
            </w:pPr>
            <w:r>
              <w:rPr>
                <w:b w:val="0"/>
                <w:color w:val="667085"/>
                <w:sz w:val="18"/>
              </w:rPr>
              <w:t>•</w:t>
              <w:tab/>
            </w:r>
            <w:r>
              <w:rPr>
                <w:b w:val="0"/>
                <w:color w:val="333333"/>
                <w:sz w:val="18"/>
              </w:rPr>
              <w:t>Buvusių vadovų byla – istorinė (nuo 2015 m.), bendrovė joje nukentėjusioji</w:t>
            </w:r>
            <w:hyperlink r:id="rId15">
              <w:r>
                <w:rPr>
                  <w:color w:val="2A78D6"/>
                  <w:vertAlign w:val="superscript"/>
                  <w:sz w:val="15"/>
                </w:rPr>
                <w:t xml:space="preserve">7</w:t>
              </w:r>
            </w:hyperlink>
            <w:r>
              <w:rPr>
                <w:b w:val="0"/>
                <w:color w:val="333333"/>
                <w:sz w:val="18"/>
              </w:rPr>
              <w:t>.</w:t>
            </w:r>
          </w:p>
        </w:tc>
      </w:tr>
    </w:tbl>
    <w:tbl>
      <w:tblPr>
        <w:tblW w:w="9639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90" w:type="dxa"/>
          <w:left w:w="0" w:type="dxa"/>
          <w:bottom w:w="110" w:type="dxa"/>
          <w:right w:w="0" w:type="dxa"/>
        </w:tblCellMar>
        <w:tblLook w:firstColumn="1" w:firstRow="1" w:lastColumn="0" w:lastRow="0" w:noHBand="0" w:noVBand="1" w:val="04A0"/>
      </w:tblPr>
      <w:tblGrid>
        <w:gridCol w:w="340"/>
        <w:gridCol w:w="9298"/>
      </w:tblGrid>
      <w:tr>
        <w:tc>
          <w:tcPr>
            <w:tcW w:type="dxa" w:w="340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0"/>
            </w:pPr>
            <w:r>
              <w:rPr>
                <w:rFonts w:ascii="Segoe UI Symbol" w:hAnsi="Segoe UI Symbol"/>
                <w:b w:val="0"/>
                <w:color w:val="1B7F3B"/>
                <w:sz w:val="24"/>
              </w:rPr>
              <w:t>☑</w:t>
            </w:r>
          </w:p>
        </w:tc>
        <w:tc>
          <w:tcPr>
            <w:tcW w:type="dxa" w:w="9298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40"/>
            </w:pPr>
            <w:r>
              <w:rPr>
                <w:b/>
                <w:color w:val="1B2430"/>
                <w:sz w:val="19"/>
              </w:rPr>
              <w:t>Yes, the company fulfills the expectations from SEB thematic and sector policies</w:t>
            </w:r>
          </w:p>
          <w:p>
            <w:pPr>
              <w:spacing w:before="40" w:after="0"/>
            </w:pPr>
            <w:r>
              <w:rPr>
                <w:b/>
                <w:color w:val="333333"/>
                <w:sz w:val="18"/>
              </w:rPr>
              <w:t>Taikoma</w:t>
            </w:r>
          </w:p>
          <w:p>
            <w:pPr>
              <w:tabs>
                <w:tab w:pos="198" w:val="left"/>
              </w:tabs>
              <w:spacing w:before="0" w:after="20"/>
              <w:ind w:left="198" w:hanging="198"/>
            </w:pPr>
            <w:r>
              <w:rPr>
                <w:b w:val="0"/>
                <w:color w:val="667085"/>
                <w:sz w:val="18"/>
              </w:rPr>
              <w:t>•</w:t>
              <w:tab/>
            </w:r>
            <w:r>
              <w:rPr>
                <w:b w:val="0"/>
                <w:color w:val="333333"/>
                <w:sz w:val="18"/>
              </w:rPr>
              <w:t>SEB investicijų politika</w:t>
            </w:r>
            <w:hyperlink r:id="rId29">
              <w:r>
                <w:rPr>
                  <w:color w:val="2A78D6"/>
                  <w:vertAlign w:val="superscript"/>
                  <w:sz w:val="15"/>
                </w:rPr>
                <w:t xml:space="preserve">24</w:t>
              </w:r>
            </w:hyperlink>
            <w:r>
              <w:rPr>
                <w:b w:val="0"/>
                <w:color w:val="333333"/>
                <w:sz w:val="18"/>
              </w:rPr>
              <w:t xml:space="preserve"> ir laivybos politika, nes keltų segmentas sudaro 31,4 % 2026 m. 6 mėn. pajamų, daugiau nei 15 % riba (mūsų skaičiavimas)</w:t>
            </w:r>
            <w:hyperlink r:id="rId13">
              <w:r>
                <w:rPr>
                  <w:color w:val="2A78D6"/>
                  <w:vertAlign w:val="superscript"/>
                  <w:sz w:val="15"/>
                </w:rPr>
                <w:t xml:space="preserve">12</w:t>
              </w:r>
            </w:hyperlink>
            <w:r>
              <w:rPr>
                <w:color w:val="2A78D6"/>
                <w:vertAlign w:val="superscript"/>
              </w:rPr>
              <w:t>,</w:t>
            </w:r>
            <w:hyperlink r:id="rId30">
              <w:r>
                <w:rPr>
                  <w:color w:val="2A78D6"/>
                  <w:vertAlign w:val="superscript"/>
                  <w:sz w:val="15"/>
                </w:rPr>
                <w:t xml:space="preserve">25</w:t>
              </w:r>
            </w:hyperlink>
            <w:r>
              <w:rPr>
                <w:b w:val="0"/>
                <w:color w:val="333333"/>
                <w:sz w:val="18"/>
              </w:rPr>
              <w:t>.</w:t>
            </w:r>
          </w:p>
          <w:p>
            <w:pPr>
              <w:tabs>
                <w:tab w:pos="198" w:val="left"/>
              </w:tabs>
              <w:spacing w:before="0" w:after="20"/>
              <w:ind w:left="198" w:hanging="198"/>
            </w:pPr>
            <w:r>
              <w:rPr>
                <w:b w:val="0"/>
                <w:color w:val="667085"/>
                <w:sz w:val="18"/>
              </w:rPr>
              <w:t>•</w:t>
              <w:tab/>
            </w:r>
            <w:r>
              <w:rPr>
                <w:b w:val="0"/>
                <w:color w:val="333333"/>
                <w:sz w:val="18"/>
              </w:rPr>
              <w:t>Transporto politika netaikoma (tik kelių, geležinkelių ir oro transportas)</w:t>
            </w:r>
            <w:hyperlink r:id="rId31">
              <w:r>
                <w:rPr>
                  <w:color w:val="2A78D6"/>
                  <w:vertAlign w:val="superscript"/>
                  <w:sz w:val="15"/>
                </w:rPr>
                <w:t xml:space="preserve">26</w:t>
              </w:r>
            </w:hyperlink>
            <w:r>
              <w:rPr>
                <w:b w:val="0"/>
                <w:color w:val="333333"/>
                <w:sz w:val="18"/>
              </w:rPr>
              <w:t>.</w:t>
            </w:r>
          </w:p>
          <w:p>
            <w:pPr>
              <w:spacing w:before="40" w:after="0"/>
            </w:pPr>
            <w:r>
              <w:rPr>
                <w:b/>
                <w:color w:val="333333"/>
                <w:sz w:val="18"/>
              </w:rPr>
              <w:t>Atitinka</w:t>
            </w:r>
          </w:p>
          <w:p>
            <w:pPr>
              <w:tabs>
                <w:tab w:pos="198" w:val="left"/>
              </w:tabs>
              <w:spacing w:before="0" w:after="20"/>
              <w:ind w:left="198" w:hanging="198"/>
            </w:pPr>
            <w:r>
              <w:rPr>
                <w:b w:val="0"/>
                <w:color w:val="667085"/>
                <w:sz w:val="18"/>
              </w:rPr>
              <w:t>•</w:t>
              <w:tab/>
            </w:r>
            <w:r>
              <w:rPr>
                <w:b w:val="0"/>
                <w:color w:val="333333"/>
                <w:sz w:val="18"/>
              </w:rPr>
              <w:t>Bendrovės valdymo ar tarptautinių normų pažeidimų nėra</w:t>
            </w:r>
            <w:hyperlink r:id="rId15">
              <w:r>
                <w:rPr>
                  <w:color w:val="2A78D6"/>
                  <w:vertAlign w:val="superscript"/>
                  <w:sz w:val="15"/>
                </w:rPr>
                <w:t xml:space="preserve">7</w:t>
              </w:r>
            </w:hyperlink>
          </w:p>
          <w:p>
            <w:pPr>
              <w:tabs>
                <w:tab w:pos="198" w:val="left"/>
              </w:tabs>
              <w:spacing w:before="0" w:after="20"/>
              <w:ind w:left="198" w:hanging="198"/>
            </w:pPr>
            <w:r>
              <w:rPr>
                <w:b w:val="0"/>
                <w:color w:val="667085"/>
                <w:sz w:val="18"/>
              </w:rPr>
              <w:t>•</w:t>
              <w:tab/>
            </w:r>
            <w:r>
              <w:rPr>
                <w:b w:val="0"/>
                <w:color w:val="333333"/>
                <w:sz w:val="18"/>
              </w:rPr>
              <w:t>Kasmetinė tvarumo ataskaita su klimato duomenimis</w:t>
            </w:r>
            <w:hyperlink r:id="rId27">
              <w:r>
                <w:rPr>
                  <w:color w:val="2A78D6"/>
                  <w:vertAlign w:val="superscript"/>
                  <w:sz w:val="15"/>
                </w:rPr>
                <w:t xml:space="preserve">21</w:t>
              </w:r>
            </w:hyperlink>
          </w:p>
          <w:p>
            <w:pPr>
              <w:tabs>
                <w:tab w:pos="198" w:val="left"/>
              </w:tabs>
              <w:spacing w:before="0" w:after="20"/>
              <w:ind w:left="198" w:hanging="198"/>
            </w:pPr>
            <w:r>
              <w:rPr>
                <w:b w:val="0"/>
                <w:color w:val="667085"/>
                <w:sz w:val="18"/>
              </w:rPr>
              <w:t>•</w:t>
              <w:tab/>
            </w:r>
            <w:r>
              <w:rPr>
                <w:b w:val="0"/>
                <w:color w:val="333333"/>
                <w:sz w:val="18"/>
              </w:rPr>
              <w:t>Klimato neutralumas iki 2050 m. ir planas keltus perkelti prie alternatyvių kuro rūšių ar elektros – atitinka SEB dekarbonizacijos plano lūkestį</w:t>
            </w:r>
            <w:hyperlink r:id="rId32">
              <w:r>
                <w:rPr>
                  <w:color w:val="2A78D6"/>
                  <w:vertAlign w:val="superscript"/>
                  <w:sz w:val="15"/>
                </w:rPr>
                <w:t xml:space="preserve">27</w:t>
              </w:r>
            </w:hyperlink>
            <w:r>
              <w:rPr>
                <w:color w:val="2A78D6"/>
                <w:vertAlign w:val="superscript"/>
              </w:rPr>
              <w:t>,</w:t>
            </w:r>
            <w:hyperlink r:id="rId30">
              <w:r>
                <w:rPr>
                  <w:color w:val="2A78D6"/>
                  <w:vertAlign w:val="superscript"/>
                  <w:sz w:val="15"/>
                </w:rPr>
                <w:t xml:space="preserve">28</w:t>
              </w:r>
            </w:hyperlink>
          </w:p>
          <w:p>
            <w:pPr>
              <w:tabs>
                <w:tab w:pos="198" w:val="left"/>
              </w:tabs>
              <w:spacing w:before="0" w:after="20"/>
              <w:ind w:left="198" w:hanging="198"/>
            </w:pPr>
            <w:r>
              <w:rPr>
                <w:b w:val="0"/>
                <w:color w:val="667085"/>
                <w:sz w:val="18"/>
              </w:rPr>
              <w:t>•</w:t>
              <w:tab/>
            </w:r>
            <w:r>
              <w:rPr>
                <w:b w:val="0"/>
                <w:color w:val="333333"/>
                <w:sz w:val="18"/>
              </w:rPr>
              <w:t>Skystų krovinių (naftos produktų) mažėja, 2026 m. 6 mėn. −33,8 %</w:t>
            </w:r>
            <w:hyperlink r:id="rId13">
              <w:r>
                <w:rPr>
                  <w:color w:val="2A78D6"/>
                  <w:vertAlign w:val="superscript"/>
                  <w:sz w:val="15"/>
                </w:rPr>
                <w:t xml:space="preserve">18</w:t>
              </w:r>
            </w:hyperlink>
            <w:r>
              <w:rPr>
                <w:b w:val="0"/>
                <w:color w:val="333333"/>
                <w:sz w:val="18"/>
              </w:rPr>
              <w:t>.</w:t>
            </w:r>
          </w:p>
          <w:p>
            <w:pPr>
              <w:spacing w:before="40" w:after="0"/>
            </w:pPr>
            <w:r>
              <w:rPr>
                <w:b/>
                <w:color w:val="333333"/>
                <w:sz w:val="18"/>
              </w:rPr>
              <w:t>Galėtų būti geriau</w:t>
            </w:r>
          </w:p>
          <w:p>
            <w:pPr>
              <w:tabs>
                <w:tab w:pos="198" w:val="left"/>
              </w:tabs>
              <w:spacing w:before="0" w:after="20"/>
              <w:ind w:left="198" w:hanging="198"/>
            </w:pPr>
            <w:r>
              <w:rPr>
                <w:b w:val="0"/>
                <w:color w:val="667085"/>
                <w:sz w:val="18"/>
              </w:rPr>
              <w:t>•</w:t>
              <w:tab/>
            </w:r>
            <w:r>
              <w:rPr>
                <w:b w:val="0"/>
                <w:color w:val="333333"/>
                <w:sz w:val="18"/>
              </w:rPr>
              <w:t>Viešose ataskaitose neaprašyti laivybos dalykai (laivų energijos efektyvumo planai, CII reitingai, laivų perdirbimas)</w:t>
            </w:r>
            <w:hyperlink r:id="rId30">
              <w:r>
                <w:rPr>
                  <w:color w:val="2A78D6"/>
                  <w:vertAlign w:val="superscript"/>
                  <w:sz w:val="15"/>
                </w:rPr>
                <w:t xml:space="preserve">29</w:t>
              </w:r>
            </w:hyperlink>
            <w:r>
              <w:rPr>
                <w:b w:val="0"/>
                <w:color w:val="333333"/>
                <w:sz w:val="18"/>
              </w:rPr>
              <w:t xml:space="preserve"> ir žmogaus teisių patikra, pranešėjų kanalas, antikorupcijos politika</w:t>
            </w:r>
            <w:hyperlink r:id="rId30">
              <w:r>
                <w:rPr>
                  <w:color w:val="2A78D6"/>
                  <w:vertAlign w:val="superscript"/>
                  <w:sz w:val="15"/>
                </w:rPr>
                <w:t xml:space="preserve">28</w:t>
              </w:r>
            </w:hyperlink>
            <w:r>
              <w:rPr>
                <w:color w:val="2A78D6"/>
                <w:vertAlign w:val="superscript"/>
              </w:rPr>
              <w:t>,</w:t>
            </w:r>
            <w:hyperlink r:id="rId33">
              <w:r>
                <w:rPr>
                  <w:color w:val="2A78D6"/>
                  <w:vertAlign w:val="superscript"/>
                  <w:sz w:val="15"/>
                </w:rPr>
                <w:t xml:space="preserve">30</w:t>
              </w:r>
            </w:hyperlink>
            <w:r>
              <w:rPr>
                <w:b w:val="0"/>
                <w:color w:val="333333"/>
                <w:sz w:val="18"/>
              </w:rPr>
              <w:t>.</w:t>
            </w:r>
          </w:p>
        </w:tc>
      </w:tr>
    </w:tbl>
    <w:p>
      <w:pPr>
        <w:spacing w:before="120" w:after="40"/>
      </w:pPr>
      <w:r>
        <w:rPr>
          <w:b/>
          <w:sz w:val="19"/>
        </w:rPr>
        <w:t xml:space="preserve">Additional comments: </w:t>
      </w:r>
    </w:p>
    <w:p>
      <w:pPr>
        <w:keepNext/>
        <w:shd w:val="clear" w:color="auto" w:fill="EEF3F8"/>
        <w:spacing w:before="200" w:after="80"/>
        <w:ind w:left="85"/>
      </w:pPr>
      <w:r>
        <w:rPr>
          <w:b/>
          <w:caps/>
          <w:color w:val="12355B"/>
          <w:sz w:val="19"/>
        </w:rPr>
        <w:t>Engagement</w:t>
      </w:r>
    </w:p>
    <w:tbl>
      <w:tblPr>
        <w:tblW w:w="9639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90" w:type="dxa"/>
          <w:left w:w="0" w:type="dxa"/>
          <w:bottom w:w="110" w:type="dxa"/>
          <w:right w:w="0" w:type="dxa"/>
        </w:tblCellMar>
        <w:tblLook w:firstColumn="1" w:firstRow="1" w:lastColumn="0" w:lastRow="0" w:noHBand="0" w:noVBand="1" w:val="04A0"/>
      </w:tblPr>
      <w:tblGrid>
        <w:gridCol w:w="340"/>
        <w:gridCol w:w="9298"/>
      </w:tblGrid>
      <w:tr>
        <w:tc>
          <w:tcPr>
            <w:tcW w:type="dxa" w:w="340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0"/>
            </w:pPr>
            <w:r>
              <w:rPr>
                <w:rFonts w:ascii="Segoe UI Symbol" w:hAnsi="Segoe UI Symbol"/>
                <w:b w:val="0"/>
                <w:color w:val="9AA5B1"/>
                <w:sz w:val="24"/>
              </w:rPr>
              <w:t>☐</w:t>
            </w:r>
          </w:p>
        </w:tc>
        <w:tc>
          <w:tcPr>
            <w:tcW w:type="dxa" w:w="9298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40"/>
            </w:pPr>
            <w:r>
              <w:rPr>
                <w:b/>
                <w:color w:val="1B2430"/>
                <w:sz w:val="19"/>
              </w:rPr>
              <w:t>Is there a need for pro-active engagement with the company?</w:t>
            </w:r>
          </w:p>
          <w:p>
            <w:pPr>
              <w:tabs>
                <w:tab w:pos="198" w:val="left"/>
              </w:tabs>
              <w:spacing w:before="0" w:after="20"/>
              <w:ind w:left="198" w:hanging="198"/>
            </w:pPr>
            <w:r>
              <w:rPr>
                <w:b w:val="0"/>
                <w:color w:val="667085"/>
                <w:sz w:val="18"/>
              </w:rPr>
              <w:t>•</w:t>
              <w:tab/>
            </w:r>
            <w:r>
              <w:rPr>
                <w:b w:val="0"/>
                <w:color w:val="333333"/>
                <w:sz w:val="18"/>
              </w:rPr>
              <w:t>Nereikia.</w:t>
            </w:r>
          </w:p>
        </w:tc>
      </w:tr>
    </w:tbl>
    <w:p>
      <w:pPr>
        <w:spacing w:before="120" w:after="40"/>
      </w:pPr>
      <w:r>
        <w:rPr>
          <w:b/>
          <w:sz w:val="19"/>
        </w:rPr>
        <w:t xml:space="preserve">Additional comments: </w:t>
      </w:r>
    </w:p>
    <w:p>
      <w:pPr>
        <w:keepNext/>
        <w:shd w:val="clear" w:color="auto" w:fill="EEF3F8"/>
        <w:spacing w:before="200" w:after="80"/>
        <w:ind w:left="85"/>
      </w:pPr>
      <w:r>
        <w:rPr>
          <w:b/>
          <w:caps/>
          <w:color w:val="12355B"/>
          <w:sz w:val="19"/>
        </w:rPr>
        <w:t>Indicators</w:t>
      </w:r>
    </w:p>
    <w:tbl>
      <w:tblPr>
        <w:tblW w:w="9639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90" w:type="dxa"/>
          <w:left w:w="0" w:type="dxa"/>
          <w:bottom w:w="110" w:type="dxa"/>
          <w:right w:w="0" w:type="dxa"/>
        </w:tblCellMar>
        <w:tblLook w:firstColumn="1" w:firstRow="1" w:lastColumn="0" w:lastRow="0" w:noHBand="0" w:noVBand="1" w:val="04A0"/>
      </w:tblPr>
      <w:tblGrid>
        <w:gridCol w:w="340"/>
        <w:gridCol w:w="9298"/>
      </w:tblGrid>
      <w:tr>
        <w:tc>
          <w:tcPr>
            <w:tcW w:type="dxa" w:w="340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0"/>
            </w:pPr>
            <w:r>
              <w:rPr>
                <w:rFonts w:ascii="Segoe UI Symbol" w:hAnsi="Segoe UI Symbol"/>
                <w:b w:val="0"/>
                <w:color w:val="1B7F3B"/>
                <w:sz w:val="24"/>
              </w:rPr>
              <w:t>☑</w:t>
            </w:r>
          </w:p>
        </w:tc>
        <w:tc>
          <w:tcPr>
            <w:tcW w:type="dxa" w:w="9298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40"/>
            </w:pPr>
            <w:r>
              <w:rPr>
                <w:b/>
                <w:color w:val="1B2430"/>
                <w:sz w:val="19"/>
              </w:rPr>
              <w:t>Yes, the indicators of the company support the targets of sustainability and PAI indicators followed by the Fund</w:t>
            </w:r>
          </w:p>
          <w:p>
            <w:pPr>
              <w:tabs>
                <w:tab w:pos="198" w:val="left"/>
              </w:tabs>
              <w:spacing w:before="0" w:after="20"/>
              <w:ind w:left="198" w:hanging="198"/>
            </w:pPr>
            <w:r>
              <w:rPr>
                <w:b w:val="0"/>
                <w:color w:val="667085"/>
                <w:sz w:val="18"/>
              </w:rPr>
              <w:t>•</w:t>
              <w:tab/>
            </w:r>
            <w:r>
              <w:rPr>
                <w:b w:val="0"/>
                <w:color w:val="333333"/>
                <w:sz w:val="18"/>
              </w:rPr>
              <w:t>1+2 apimties emisijos 2025 m. – 19 261 t CO2e, −41,8 % nuo 2019 m. (mūsų skaičiavimas)</w:t>
            </w:r>
            <w:hyperlink r:id="rId28">
              <w:r>
                <w:rPr>
                  <w:color w:val="2A78D6"/>
                  <w:vertAlign w:val="superscript"/>
                  <w:sz w:val="15"/>
                </w:rPr>
                <w:t xml:space="preserve">23</w:t>
              </w:r>
            </w:hyperlink>
          </w:p>
          <w:p>
            <w:pPr>
              <w:tabs>
                <w:tab w:pos="198" w:val="left"/>
              </w:tabs>
              <w:spacing w:before="0" w:after="20"/>
              <w:ind w:left="198" w:hanging="198"/>
            </w:pPr>
            <w:r>
              <w:rPr>
                <w:b w:val="0"/>
                <w:color w:val="667085"/>
                <w:sz w:val="18"/>
              </w:rPr>
              <w:t>•</w:t>
              <w:tab/>
            </w:r>
            <w:r>
              <w:rPr>
                <w:b w:val="0"/>
                <w:color w:val="333333"/>
                <w:sz w:val="18"/>
              </w:rPr>
              <w:t>Tikslas – −55 % iki 2030 m. ir klimato neutralumas iki 2050 m.</w:t>
            </w:r>
            <w:hyperlink r:id="rId19">
              <w:r>
                <w:rPr>
                  <w:color w:val="2A78D6"/>
                  <w:vertAlign w:val="superscript"/>
                  <w:sz w:val="15"/>
                </w:rPr>
                <w:t xml:space="preserve">22</w:t>
              </w:r>
            </w:hyperlink>
            <w:r>
              <w:rPr>
                <w:b w:val="0"/>
                <w:color w:val="333333"/>
                <w:sz w:val="18"/>
              </w:rPr>
              <w:t>.</w:t>
            </w:r>
          </w:p>
        </w:tc>
      </w:tr>
    </w:tbl>
    <w:p>
      <w:pPr>
        <w:spacing w:before="120" w:after="40"/>
      </w:pPr>
      <w:r>
        <w:rPr>
          <w:b/>
          <w:sz w:val="19"/>
        </w:rPr>
        <w:t xml:space="preserve">Additional comments: </w:t>
      </w:r>
    </w:p>
    <w:p>
      <w:pPr>
        <w:spacing w:before="120" w:after="40"/>
      </w:pPr>
      <w:r>
        <w:rPr>
          <w:b/>
          <w:sz w:val="19"/>
        </w:rPr>
        <w:t xml:space="preserve">Conclusion: </w:t>
      </w:r>
      <w:r>
        <w:rPr>
          <w:b w:val="0"/>
          <w:sz w:val="19"/>
        </w:rPr>
        <w:t>Išimčių ir raudonų signalų nėra. Aiškūs klimato tikslai ir gera pažanga (−41,8 % nuo 2019 m.). Laivybos atskleidimas galėtų būti išsamesnis.</w:t>
      </w:r>
    </w:p>
    <w:p>
      <w:pPr>
        <w:spacing w:before="40" w:after="60"/>
      </w:pPr>
      <w:r>
        <w:rPr>
          <w:b w:val="0"/>
          <w:color w:val="667085"/>
          <w:sz w:val="16"/>
        </w:rPr>
        <w:t>Taikytos SEB politikos: Policy on Sustainability Considerations in Investments (SEB AB); Shipping sector policy; Environmental Policy on Climate, Nature and Water (thematic); Social and Human Rights Policy (thematic); Governance expectations in sector policies (anti-corruption, tax, reporting)</w:t>
      </w:r>
    </w:p>
    <w:p>
      <w:pPr>
        <w:keepNext/>
        <w:pBdr>
          <w:bottom w:val="single" w:sz="8" w:color="12355B" w:space="4"/>
        </w:pBdr>
        <w:tabs>
          <w:tab w:pos="482" w:val="left"/>
        </w:tabs>
        <w:spacing w:before="360" w:after="160"/>
      </w:pPr>
      <w:r>
        <w:rPr>
          <w:b/>
          <w:color w:val="2A78D6"/>
          <w:sz w:val="18"/>
        </w:rPr>
        <w:t>10</w:t>
        <w:tab/>
      </w:r>
      <w:r>
        <w:rPr>
          <w:b/>
          <w:color w:val="12355B"/>
          <w:sz w:val="28"/>
        </w:rPr>
        <w:t>Šaltiniai</w:t>
      </w:r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1.</w:t>
        <w:tab/>
      </w:r>
      <w:hyperlink r:id="rId12">
        <w:r>
          <w:rPr>
            <w:color w:val="2A78D6"/>
            <w:sz w:val="17"/>
          </w:rPr>
          <w:t xml:space="preserve">Investor - stock exchange info, 2026-10-22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2.</w:t>
        <w:tab/>
      </w:r>
      <w:hyperlink r:id="rId13">
        <w:r>
          <w:rPr>
            <w:color w:val="2A78D6"/>
            <w:sz w:val="17"/>
          </w:rPr>
          <w:t xml:space="preserve">AS Tallinna Sadam - Interim report Q2 and 6M 2026, 2026-08-10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3.</w:t>
        <w:tab/>
      </w:r>
      <w:hyperlink r:id="rId13">
        <w:r>
          <w:rPr>
            <w:color w:val="2A78D6"/>
            <w:sz w:val="17"/>
          </w:rPr>
          <w:t xml:space="preserve">AS Tallinna Sadam - Interim report Q2 and 6M 2026, p. 4, 2026-08-10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4.</w:t>
        <w:tab/>
      </w:r>
      <w:hyperlink r:id="rId14">
        <w:r>
          <w:rPr>
            <w:color w:val="2A78D6"/>
            <w:sz w:val="17"/>
          </w:rPr>
          <w:t xml:space="preserve">Stock exchange release: financial results for 2026 Q2 and 6 months, 2026-08-10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5.</w:t>
        <w:tab/>
      </w:r>
      <w:hyperlink r:id="rId13">
        <w:r>
          <w:rPr>
            <w:color w:val="2A78D6"/>
            <w:sz w:val="17"/>
          </w:rPr>
          <w:t xml:space="preserve">AS Tallinna Sadam - Interim report Q2 and 6M 2026, p. 14-15, 2026-08-10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6.</w:t>
        <w:tab/>
      </w:r>
      <w:hyperlink r:id="rId13">
        <w:r>
          <w:rPr>
            <w:color w:val="2A78D6"/>
            <w:sz w:val="17"/>
          </w:rPr>
          <w:t xml:space="preserve">AS Tallinna Sadam - Interim report Q2 and 6M 2026, p. 13, 2026-08-10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7.</w:t>
        <w:tab/>
      </w:r>
      <w:hyperlink r:id="rId15">
        <w:r>
          <w:rPr>
            <w:color w:val="2A78D6"/>
            <w:sz w:val="17"/>
          </w:rPr>
          <w:t xml:space="preserve">ERR: defence appeals acquittal in Tallinna Sadam case, 2024-07-24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8.</w:t>
        <w:tab/>
      </w:r>
      <w:hyperlink r:id="rId16">
        <w:r>
          <w:rPr>
            <w:color w:val="2A78D6"/>
            <w:sz w:val="17"/>
          </w:rPr>
          <w:t xml:space="preserve">ERR: State Prosecutor appeals Tallinna Sadam ruling, 2024-07-26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9.</w:t>
        <w:tab/>
      </w:r>
      <w:hyperlink r:id="rId17">
        <w:r>
          <w:rPr>
            <w:color w:val="2A78D6"/>
            <w:sz w:val="17"/>
          </w:rPr>
          <w:t xml:space="preserve">Results of Q4 and 12 months 2025 - webinar presentation, 2026-02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10.</w:t>
        <w:tab/>
      </w:r>
      <w:hyperlink r:id="rId13">
        <w:r>
          <w:rPr>
            <w:color w:val="2A78D6"/>
            <w:sz w:val="17"/>
          </w:rPr>
          <w:t xml:space="preserve">AS Tallinna Sadam - Interim report Q2 and 6M 2026, p. 15, 2026-08-10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11.</w:t>
        <w:tab/>
      </w:r>
      <w:hyperlink r:id="rId13">
        <w:r>
          <w:rPr>
            <w:color w:val="2A78D6"/>
            <w:sz w:val="17"/>
          </w:rPr>
          <w:t xml:space="preserve">AS Tallinna Sadam - Interim report Q2 and 6M 2026, p. 14, 2026-08-10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12.</w:t>
        <w:tab/>
      </w:r>
      <w:hyperlink r:id="rId13">
        <w:r>
          <w:rPr>
            <w:color w:val="2A78D6"/>
            <w:sz w:val="17"/>
          </w:rPr>
          <w:t xml:space="preserve">AS Tallinna Sadam - Interim report Q2 and 6M 2026, p. 9, 2026-08-10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13.</w:t>
        <w:tab/>
      </w:r>
      <w:hyperlink r:id="rId19">
        <w:r>
          <w:rPr>
            <w:color w:val="2A78D6"/>
            <w:sz w:val="17"/>
          </w:rPr>
          <w:t xml:space="preserve">Sustainability Report 2025, p. 19, 22, 2026-04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14.</w:t>
        <w:tab/>
      </w:r>
      <w:hyperlink r:id="rId20">
        <w:r>
          <w:rPr>
            <w:color w:val="2A78D6"/>
            <w:sz w:val="17"/>
          </w:rPr>
          <w:t xml:space="preserve">Q2 2026 webinar presentation, 2026-08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15.</w:t>
        <w:tab/>
      </w:r>
      <w:hyperlink r:id="rId13">
        <w:r>
          <w:rPr>
            <w:color w:val="2A78D6"/>
            <w:sz w:val="17"/>
          </w:rPr>
          <w:t xml:space="preserve">AS Tallinna Sadam - Interim report Q2 and 6M 2026, p. 7, 2026-08-10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16.</w:t>
        <w:tab/>
      </w:r>
      <w:hyperlink r:id="rId13">
        <w:r>
          <w:rPr>
            <w:color w:val="2A78D6"/>
            <w:sz w:val="17"/>
          </w:rPr>
          <w:t xml:space="preserve">AS Tallinna Sadam - Interim report Q2 and 6M 2026, p. 12, 2026-08-10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17.</w:t>
        <w:tab/>
      </w:r>
      <w:hyperlink r:id="rId13">
        <w:r>
          <w:rPr>
            <w:color w:val="2A78D6"/>
            <w:sz w:val="17"/>
          </w:rPr>
          <w:t xml:space="preserve">AS Tallinna Sadam - Interim report Q2 and 6M 2026, p. 5, 2026-08-10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18.</w:t>
        <w:tab/>
      </w:r>
      <w:hyperlink r:id="rId13">
        <w:r>
          <w:rPr>
            <w:color w:val="2A78D6"/>
            <w:sz w:val="17"/>
          </w:rPr>
          <w:t xml:space="preserve">AS Tallinna Sadam - Interim report Q2 and 6M 2026, p. 6, 2026-08-10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19.</w:t>
        <w:tab/>
      </w:r>
      <w:hyperlink r:id="rId25">
        <w:r>
          <w:rPr>
            <w:color w:val="2A78D6"/>
            <w:sz w:val="17"/>
          </w:rPr>
          <w:t xml:space="preserve">OFAC Sanctions List Search (US Treasury)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20.</w:t>
        <w:tab/>
      </w:r>
      <w:hyperlink r:id="rId26">
        <w:r>
          <w:rPr>
            <w:color w:val="2A78D6"/>
            <w:sz w:val="17"/>
          </w:rPr>
          <w:t xml:space="preserve">EU Sanctions Map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21.</w:t>
        <w:tab/>
      </w:r>
      <w:hyperlink r:id="rId27">
        <w:r>
          <w:rPr>
            <w:color w:val="2A78D6"/>
            <w:sz w:val="17"/>
          </w:rPr>
          <w:t xml:space="preserve">Sustainability Report 2025, 2026-04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22.</w:t>
        <w:tab/>
      </w:r>
      <w:hyperlink r:id="rId19">
        <w:r>
          <w:rPr>
            <w:color w:val="2A78D6"/>
            <w:sz w:val="17"/>
          </w:rPr>
          <w:t xml:space="preserve">Sustainability Report 2025, p. 19, 2026-04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23.</w:t>
        <w:tab/>
      </w:r>
      <w:hyperlink r:id="rId28">
        <w:r>
          <w:rPr>
            <w:color w:val="2A78D6"/>
            <w:sz w:val="17"/>
          </w:rPr>
          <w:t xml:space="preserve">Sustainability Report 2025, p. 22, 2026-04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24.</w:t>
        <w:tab/>
      </w:r>
      <w:hyperlink r:id="rId29">
        <w:r>
          <w:rPr>
            <w:color w:val="2A78D6"/>
            <w:sz w:val="17"/>
          </w:rPr>
          <w:t xml:space="preserve">SEB Policy on Sustainability Considerations in Investments (2026-04-15), p. 5, 2026-04-15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25.</w:t>
        <w:tab/>
      </w:r>
      <w:hyperlink r:id="rId30">
        <w:r>
          <w:rPr>
            <w:color w:val="2A78D6"/>
            <w:sz w:val="17"/>
          </w:rPr>
          <w:t xml:space="preserve">SEB Sector Policy on Shipping (2026-04-23), p. 5, 2026-04-23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26.</w:t>
        <w:tab/>
      </w:r>
      <w:hyperlink r:id="rId31">
        <w:r>
          <w:rPr>
            <w:color w:val="2A78D6"/>
            <w:sz w:val="17"/>
          </w:rPr>
          <w:t xml:space="preserve">SEB Sector Policy on Transportation (2026-04-23), p. 4, 2026-04-23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27.</w:t>
        <w:tab/>
      </w:r>
      <w:hyperlink r:id="rId32">
        <w:r>
          <w:rPr>
            <w:color w:val="2A78D6"/>
            <w:sz w:val="17"/>
          </w:rPr>
          <w:t xml:space="preserve">Sustainability Report 2025, p. 18-19, 2026-04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28.</w:t>
        <w:tab/>
      </w:r>
      <w:hyperlink r:id="rId30">
        <w:r>
          <w:rPr>
            <w:color w:val="2A78D6"/>
            <w:sz w:val="17"/>
          </w:rPr>
          <w:t xml:space="preserve">SEB Sector Policy on Shipping (2026-04-23), p. 7, 2026-04-23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29.</w:t>
        <w:tab/>
      </w:r>
      <w:hyperlink r:id="rId30">
        <w:r>
          <w:rPr>
            <w:color w:val="2A78D6"/>
            <w:sz w:val="17"/>
          </w:rPr>
          <w:t xml:space="preserve">SEB Sector Policy on Shipping (2026-04-23), p. 5-6, 2026-04-23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30.</w:t>
        <w:tab/>
      </w:r>
      <w:hyperlink r:id="rId33">
        <w:r>
          <w:rPr>
            <w:color w:val="2A78D6"/>
            <w:sz w:val="17"/>
          </w:rPr>
          <w:t xml:space="preserve">SEB Social and Human Rights Policy (2026-04-28), p. 8, 2026-04-28</w:t>
        </w:r>
      </w:hyperlink>
    </w:p>
    <w:p>
      <w:pPr>
        <w:spacing w:before="40" w:after="60"/>
      </w:pPr>
      <w:r>
        <w:rPr>
          <w:b w:val="0"/>
          <w:color w:val="667085"/>
          <w:sz w:val="16"/>
        </w:rPr>
        <w:t>Ataskaita parengta iš viešų šaltinių. Skaičiai pateikiami taip, kaip juos skelbia emitentas; maži numeriai prie teksto veda į šaltinių sąrašą.</w:t>
      </w:r>
    </w:p>
    <w:sectPr w:rsidR="00FC693F" w:rsidRPr="0006063C" w:rsidSect="00034616">
      <w:headerReference w:type="default" r:id="rId9"/>
      <w:footerReference w:type="default" r:id="rId10"/>
      <w:footerReference w:type="first" r:id="rId11"/>
      <w:pgSz w:w="11906" w:h="16838"/>
      <w:pgMar w:top="1020" w:right="1134" w:bottom="1020" w:left="1134" w:header="510" w:footer="454" w:gutter="0"/>
      <w:cols w:space="720"/>
      <w:titlePg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Bdr>
        <w:top w:val="single" w:sz="4" w:color="D5DCE4" w:space="4"/>
      </w:pBdr>
      <w:tabs>
        <w:tab w:pos="9638" w:val="right"/>
      </w:tabs>
    </w:pPr>
    <w:r>
      <w:rPr>
        <w:b w:val="0"/>
        <w:color w:val="667085"/>
        <w:sz w:val="16"/>
      </w:rPr>
      <w:t>Port of Tallinn · 6M2026 · 2026-10-22</w:t>
      <w:tab/>
    </w:r>
    <w:r>
      <w:rPr>
        <w:b/>
        <w:color w:val="12355B"/>
        <w:sz w:val="16"/>
      </w:rPr>
      <w:fldChar w:fldCharType="begin"/>
      <w:instrText xml:space="preserve"> PAGE </w:instrText>
      <w:fldChar w:fldCharType="end"/>
    </w:r>
  </w:p>
</w:ftr>
</file>

<file path=word/footer2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Bdr>
        <w:top w:val="single" w:sz="4" w:color="D5DCE4" w:space="4"/>
      </w:pBdr>
      <w:tabs>
        <w:tab w:pos="9638" w:val="right"/>
      </w:tabs>
    </w:pPr>
    <w:r>
      <w:rPr>
        <w:b w:val="0"/>
        <w:color w:val="667085"/>
        <w:sz w:val="16"/>
      </w:rPr>
      <w:t>Port of Tallinn · 6M2026 · 2026-10-22</w:t>
      <w:tab/>
    </w:r>
    <w:r>
      <w:rPr>
        <w:b/>
        <w:color w:val="12355B"/>
        <w:sz w:val="16"/>
      </w:rPr>
      <w:fldChar w:fldCharType="begin"/>
      <w:instrText xml:space="preserve"> PAGE </w:instrText>
      <w:fldChar w:fldCharType="end"/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Bdr>
        <w:bottom w:val="single" w:sz="4" w:color="D5DCE4" w:space="4"/>
      </w:pBdr>
      <w:tabs>
        <w:tab w:pos="9638" w:val="right"/>
      </w:tabs>
    </w:pPr>
    <w:r>
      <w:rPr>
        <w:b/>
        <w:color w:val="12355B"/>
        <w:sz w:val="16"/>
      </w:rPr>
      <w:t>Port of Tallinn</w:t>
    </w:r>
    <w:r>
      <w:rPr>
        <w:b w:val="0"/>
        <w:color w:val="667085"/>
        <w:sz w:val="16"/>
      </w:rPr>
      <w:tab/>
      <w:t>Emitento apžvalga · 6M2026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80" w:line="264" w:lineRule="auto"/>
    </w:pPr>
    <w:rPr>
      <w:rFonts w:ascii="Calibri" w:hAnsi="Calibri" w:eastAsia="Calibri"/>
      <w:color w:val="1B2430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Relationship Id="rId11" Type="http://schemas.openxmlformats.org/officeDocument/2006/relationships/footer" Target="footer2.xml"/><Relationship Id="rId12" Type="http://schemas.openxmlformats.org/officeDocument/2006/relationships/hyperlink" Target="https://www.ts.ee/en/investor/stock-exchange-info/" TargetMode="External"/><Relationship Id="rId13" Type="http://schemas.openxmlformats.org/officeDocument/2006/relationships/hyperlink" Target="https://ml-eu.globenewswire.com/Resource/Download/bfd79dd4-0a64-4f1a-bf21-dcb2548a7586" TargetMode="External"/><Relationship Id="rId14" Type="http://schemas.openxmlformats.org/officeDocument/2006/relationships/hyperlink" Target="https://www.inderes.fi/en/releases/as-tallinna-sadam-financial-results-for-2026-q2-and-6-months" TargetMode="External"/><Relationship Id="rId15" Type="http://schemas.openxmlformats.org/officeDocument/2006/relationships/hyperlink" Target="https://www.err.ee/1609405501/tallinna-sadama-kaasuses-oigeksmoistetute-kaitsjad-vaidlustasid-kohtuotsuse" TargetMode="External"/><Relationship Id="rId16" Type="http://schemas.openxmlformats.org/officeDocument/2006/relationships/hyperlink" Target="https://www.err.ee/1609408312/riigiprokuratuur-vaidlustas-tallinna-sadama-kohtuotsuse" TargetMode="External"/><Relationship Id="rId17" Type="http://schemas.openxmlformats.org/officeDocument/2006/relationships/hyperlink" Target="https://www.ts.ee/wp-content/uploads/2026/02/2025-Q4-Webinar.pdf" TargetMode="External"/><Relationship Id="rId18" Type="http://schemas.openxmlformats.org/officeDocument/2006/relationships/image" Target="media/image1.png"/><Relationship Id="rId19" Type="http://schemas.openxmlformats.org/officeDocument/2006/relationships/hyperlink" Target="https://www.ts.ee/wp-content/uploads/2026/04/Sustainability_Report_2025.pdf#page=19" TargetMode="External"/><Relationship Id="rId20" Type="http://schemas.openxmlformats.org/officeDocument/2006/relationships/hyperlink" Target="https://www.ts.ee/wp-content/uploads/2019/12/Q2-2026-webinar-ENG.pdf" TargetMode="External"/><Relationship Id="rId21" Type="http://schemas.openxmlformats.org/officeDocument/2006/relationships/hyperlink" Target="https://news.google.com/rss/articles/CBMivAFBVV95cUxOSjNkcHBWQWNtdTFEWHBMWHByV2ZQbWtCLTV2Q1hpSGhjbmxOTG0xLXNxY1JPUXpGR2VmVFZyby1UZ0pHdzhEZlFnQzlXOGhCOVh6cFAzRDItU1had2p4VTBXVWxtRkt4QkVSejZVeEc1NG5YR0J6cHREVUdVZUE5eEtwNXh2dVRZemlWdFpJQk1VdGtXanV1QW1ubWhXcHdtelp6Nm5MQWp3WVVIdHhRVko1UFk5UEE2blEybw?oc=5" TargetMode="External"/><Relationship Id="rId22" Type="http://schemas.openxmlformats.org/officeDocument/2006/relationships/hyperlink" Target="https://news.google.com/rss/articles/CBMiowFBVV95cUxNR1BLb1NmUGtHTGxZckFKbWxIU2Q0MWMxSktOMk16WFNySHFRNW1SZ181WlVET05NM1NzcHBDZUJ6bG1ROEpiZldDbTNLQmd2Y293aEo0dWplWjUxM25RNEN1VE95eFNEZ3BQWjU3aWJqV0doeUx5SUxtcUxXMEJIRVluU1NqQmt2Z3lFRmltbHBtS2o2amh2SU90UW11MUNfWnpV?oc=5" TargetMode="External"/><Relationship Id="rId23" Type="http://schemas.openxmlformats.org/officeDocument/2006/relationships/hyperlink" Target="https://news.google.com/rss/articles/CBMitAFBVV95cUxNMUs2N2xkNk1IeFppTEduZDA4Tkk0NWh5NjZJMTJidjBhOU03c014U3NpZy1XX1FvQlBrNVB0NmFpOWVLYnp1b0VJVndaRW5aUmc3WVVLcnhYQ0dYenVJaHNHVG03M0ZjOUlacGpmQ3RSNDdOclRvZFhjN0s1Wk10TzRocTZKN1Z0c0tuWjR4bnVRS0M4LU9pX2pOa1ozN201QVEzN2liUjM5YjdVZ0M0cS16WEY?oc=5" TargetMode="External"/><Relationship Id="rId24" Type="http://schemas.openxmlformats.org/officeDocument/2006/relationships/hyperlink" Target="https://news.google.com/rss/articles/CBMi0gFBVV95cUxPdVYzWFNwZFg0U0JMcHVFZlZVVU1wV0cycmh6SW1iX3BlMk1KNzhOd3QwRjlyYm14LUs2Zjg3THNYdG1NNEgyRE1ZWUdvaGtHZ2hRalRuZTZJaGlmcnlVOGpwblhzUVpfSDVEOHhEbDg0LVZmNkRmNkpKcVBCbGZPcU5rT2pERk9CS2dqbzNWSFY1elVVQkxJUjVKdnBCUmY4MF9xaFFiMDlRaEZQOHhabXlYVS1QRi1rNWUtRENZNlBySnpFN2lwMkRRMGt5d2JCWHc?oc=5" TargetMode="External"/><Relationship Id="rId25" Type="http://schemas.openxmlformats.org/officeDocument/2006/relationships/hyperlink" Target="https://sanctionssearch.ofac.treas.gov/" TargetMode="External"/><Relationship Id="rId26" Type="http://schemas.openxmlformats.org/officeDocument/2006/relationships/hyperlink" Target="https://www.sanctionsmap.eu/#/main" TargetMode="External"/><Relationship Id="rId27" Type="http://schemas.openxmlformats.org/officeDocument/2006/relationships/hyperlink" Target="https://www.ts.ee/wp-content/uploads/2026/04/Sustainability_Report_2025.pdf" TargetMode="External"/><Relationship Id="rId28" Type="http://schemas.openxmlformats.org/officeDocument/2006/relationships/hyperlink" Target="https://www.ts.ee/wp-content/uploads/2026/04/Sustainability_Report_2025.pdf#page=22" TargetMode="External"/><Relationship Id="rId29" Type="http://schemas.openxmlformats.org/officeDocument/2006/relationships/hyperlink" Target="https://sebgroup.com/sustainability/our-sustainability-strategy/policies" TargetMode="External"/><Relationship Id="rId30" Type="http://schemas.openxmlformats.org/officeDocument/2006/relationships/hyperlink" Target="https://webapp.sebgroup.com/mb/mblib.nsf/dld/C882785365792AC9C12587D700312ACF?opendocument" TargetMode="External"/><Relationship Id="rId31" Type="http://schemas.openxmlformats.org/officeDocument/2006/relationships/hyperlink" Target="https://webapp.sebgroup.com/mb/mblib.nsf/dld/B1113F0C7B3136E4C12587D70030204B?opendocument" TargetMode="External"/><Relationship Id="rId32" Type="http://schemas.openxmlformats.org/officeDocument/2006/relationships/hyperlink" Target="https://www.ts.ee/wp-content/uploads/2026/04/Sustainability_Report_2025.pdf#page=18" TargetMode="External"/><Relationship Id="rId33" Type="http://schemas.openxmlformats.org/officeDocument/2006/relationships/hyperlink" Target="https://webapp.sebgroup.com/mb/mblib.nsf/dld/B6C87DACA17DDE3CC1258B5C006292E0?opendocument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