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Ignitis grupė – Emitento apžvalga</w:t>
      </w:r>
    </w:p>
    <w:p>
      <w:pPr>
        <w:spacing w:after="0"/>
      </w:pPr>
      <w:r>
        <w:rPr>
          <w:b/>
        </w:rPr>
        <w:t xml:space="preserve">Analizės data: </w:t>
      </w:r>
      <w:r>
        <w:t>2026-10-22</w:t>
      </w:r>
    </w:p>
    <w:p>
      <w:pPr>
        <w:spacing w:after="0"/>
      </w:pPr>
      <w:r>
        <w:rPr>
          <w:b/>
        </w:rPr>
        <w:t xml:space="preserve">Laikotarpis: </w:t>
      </w:r>
      <w:r>
        <w:t>6M2026</w:t>
      </w:r>
    </w:p>
    <w:p>
      <w:pPr>
        <w:spacing w:after="0"/>
      </w:pPr>
      <w:r>
        <w:rPr>
          <w:b/>
        </w:rPr>
        <w:t xml:space="preserve">Reitingas / Rating: </w:t>
      </w:r>
      <w:r>
        <w:t>S&amp;P BBB+ (stable), 2026-07-28; Moody's Baa1 (stable), 2026 [S7]</w:t>
      </w:r>
    </w:p>
    <w:p>
      <w:pPr>
        <w:spacing w:after="0"/>
      </w:pPr>
      <w:r>
        <w:rPr>
          <w:b/>
        </w:rPr>
        <w:t xml:space="preserve">Kita ataskaita / Next report: </w:t>
      </w:r>
      <w:r>
        <w:t>Q3 2026 interim report - 2026-11-11 [S1 p.14]</w:t>
      </w:r>
    </w:p>
    <w:p>
      <w:pPr>
        <w:pStyle w:val="Heading2"/>
      </w:pPr>
      <w:r>
        <w:rPr>
          <w:color w:val="1F4E79"/>
        </w:rPr>
        <w:t>Turimos priemonės ir ISIN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ISIN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Priemonė</w:t>
            </w:r>
          </w:p>
        </w:tc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Kuponas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Išpirkimas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Pastaba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LT0000115768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Ignitis grupė ordinary share (IGN1L)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akcija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XS1646530565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Ignitis 2.000% green notes 2027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7"/>
              </w:rPr>
              <w:t>2.000 %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2027-07-14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Tender offer for any and all notes announced 2026-10-19 (refinanced by new EuGB 4.500% 2031)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XS1853999313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Ignitis 1.875% green notes 2028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7"/>
              </w:rPr>
              <w:t>1.875 %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2028-07-10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⚠ Issuer pages differ on dates (newer page: 2018-07-10 / 2028-07-10; older page: 2017/2027) - check Final Terms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XS2177349912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Ignitis 2.000% notes 2030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sz w:val="17"/>
              </w:rPr>
              <w:t>2.000 %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2030-05-21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1F4E79"/>
        </w:rPr>
        <w:t>Pagrindiniai rodikliai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Rodiklis</w:t>
            </w:r>
          </w:p>
        </w:tc>
        <w:tc>
          <w:tcPr>
            <w:tcW w:type="dxa" w:w="119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19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19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6M2025</w:t>
            </w:r>
          </w:p>
        </w:tc>
        <w:tc>
          <w:tcPr>
            <w:tcW w:type="dxa" w:w="119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6M2026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Šaltiniai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Pajamos, mln. EUR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1 298,0*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1 497,5*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Koreguota EBITDA,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527,9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546,1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300,8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306,6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S1 p.5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EBITDA,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532,7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482,1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262,5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303,5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Koreguotas grynasis pelnas,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277,5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225,7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146,2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115,8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Grynasis pelnas,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276,2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163,9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111,4*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113,2*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p.23;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Investicijos,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812,0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720,3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343,2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306,1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S1 p.5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FFO, mln. EUR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225,9*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251,4*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p.29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Laisvieji pinigų srautai, mln. EUR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64,0*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5,3*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p.29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Grynoji skola, mln.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1 612,3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1 912,0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1 925,3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p.10;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Grynoji skola / EBITDA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3,05x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3,50x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3,49x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p.10;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FFO / grynoji skola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29,7 %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21,0 %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22,2 %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p.10;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Koreguota ROCE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9,0 %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7,5 %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6,7 %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S4 p.14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Nuosavas kapitalas, mln. EUR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2 494,7*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2 636,1*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p.33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Turtas, mln. EUR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6 278,9*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6 339,2*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p.33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Dividendai akcijai, EUR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1,33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1,366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0,704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S2; S4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Įrengta žalioji galia, GW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1,4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2,1</w:t>
            </w:r>
          </w:p>
        </w:tc>
        <w:tc>
          <w:tcPr>
            <w:tcW w:type="dxa" w:w="1191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2,1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S1 p.11; S5</w:t>
            </w:r>
          </w:p>
        </w:tc>
      </w:tr>
    </w:tbl>
    <w:p/>
    <w:p>
      <w:r>
        <w:rPr>
          <w:i/>
          <w:sz w:val="16"/>
        </w:rPr>
        <w:t>* – reikia patikrinti originale / verify in source;  ᶜ – apskaičiuota įrankio / calculated by the tool</w:t>
      </w:r>
    </w:p>
    <w:p>
      <w:pPr>
        <w:pStyle w:val="Heading2"/>
      </w:pPr>
      <w:r>
        <w:rPr>
          <w:color w:val="1F4E79"/>
        </w:rPr>
        <w:t>Trumpa santrauka</w:t>
      </w:r>
    </w:p>
    <w:p>
      <w:pPr>
        <w:pStyle w:val="ListBullet"/>
        <w:spacing w:after="40"/>
      </w:pPr>
      <w:r>
        <w:t>6 mėn. koreguota EBITDA – 306,6 mln. EUR (+1,9 %). Augo Tinklai ir Klientai ir sprendimai, mažėjo Žalioji generacija (149,2 mln. EUR, 2025 m. – 166,6 mln.) [S1 p.24]. 2026 m. prognozė 550–600 mln. EUR patvirtinta; per pusmetį pasiekta 51–56 % jos [S2].</w:t>
      </w:r>
    </w:p>
    <w:p>
      <w:pPr>
        <w:pStyle w:val="ListBullet"/>
        <w:spacing w:after="40"/>
      </w:pPr>
      <w:r>
        <w:t>Skola stabili: grynoji skola 1 925,3 mln. EUR (+0,7 % nuo 2025 m. pabaigos), grynoji skola / koreguota EBITDA 3,49x, FFO / grynoji skola 22,2 % (strateginis tikslas ≥23 %) [S1 p.10; S6].</w:t>
      </w:r>
    </w:p>
    <w:p>
      <w:pPr>
        <w:pStyle w:val="ListBullet"/>
        <w:spacing w:after="40"/>
      </w:pPr>
      <w:r>
        <w:t>Reitingai nepakito: S&amp;P BBB+ (stabili, 2026-07-28), Moody's Baa1 (stabili, pirmas reitingas 2026 m.) [S7].</w:t>
      </w:r>
    </w:p>
    <w:p>
      <w:pPr>
        <w:pStyle w:val="ListBullet"/>
        <w:spacing w:after="40"/>
      </w:pPr>
      <w:r>
        <w:t>Svarbu turimai obligacijai XS1646530565 (2,000 %, 2027-07-14): 2026-10-19 paskelbtas supirkimo pasiūlymas (tender offer), finansuojamas nauja 300 mln. EUR 4,500 % EuGB obligacija iki 2031-10-27 [S8; S9].</w:t>
      </w:r>
    </w:p>
    <w:p>
      <w:pPr>
        <w:pStyle w:val="ListBullet"/>
        <w:spacing w:after="40"/>
      </w:pPr>
      <w:r>
        <w:t>Koreguotas grynasis pelnas sumažėjo 20,8 % iki 115,8 mln. EUR; koreguota ROCE (12 mėn.) – 6,7 % (buvo 8,6 %) [S1 p.11].</w:t>
      </w:r>
    </w:p>
    <w:p>
      <w:pPr>
        <w:pStyle w:val="Heading2"/>
      </w:pPr>
      <w:r>
        <w:rPr>
          <w:color w:val="1F4E79"/>
        </w:rPr>
        <w:t>Veiklos apžvalga</w:t>
      </w:r>
    </w:p>
    <w:p>
      <w:pPr>
        <w:pStyle w:val="ListBullet"/>
        <w:spacing w:after="40"/>
      </w:pPr>
      <w:r>
        <w:t>Tinklai: investicijos 208,3 mln. EUR (+26,1 %), 68 % visų investicijų; segmento koreguota EBITDA 147,3 mln. EUR (132,6 mln.) [S1 p.5, p.24].</w:t>
      </w:r>
    </w:p>
    <w:p>
      <w:pPr>
        <w:pStyle w:val="ListBullet"/>
        <w:spacing w:after="40"/>
      </w:pPr>
      <w:r>
        <w:t>Žalioji generacija: įrengta 2,1 GW, statoma 0,6 GW (0,7 GW po Tume BESS investicinio sprendimo), užtikrinta 3,4 GW [S1 p.11, p.17]. EBITDA mažėjo dėl silpnesnio vėjo I–II ketv. ir mažesnės apsidraudimo kainos (130 → 82 EUR/MWh) [S3].</w:t>
      </w:r>
    </w:p>
    <w:p>
      <w:pPr>
        <w:pStyle w:val="ListBullet"/>
        <w:spacing w:after="40"/>
      </w:pPr>
      <w:r>
        <w:t>Rezervinė galia: koreguota EBITDA 17,9 mln. EUR (29,1 mln., −38 %); balansavimo rinka tampa konkurencingesnė [S1 p.24; S3].</w:t>
      </w:r>
    </w:p>
    <w:p>
      <w:pPr>
        <w:pStyle w:val="ListBullet"/>
        <w:spacing w:after="40"/>
      </w:pPr>
      <w:r>
        <w:t>Klientai ir sprendimai: EBITDA 0,2 mln. EUR (−27,7 mln.); padėjo didesni kiekiai šaltą žiemą ir vienkartiniai didmeninės dujų prekybos sandoriai I ketv. [S2]. Gaminančių vartotojų poveikis 2025 m. – apie −30 mln. EUR EBITDA, 2026 m. tikimasi kiek didesnio, 60–70 % kompensuos naujas reguliavimas [S3].</w:t>
      </w:r>
    </w:p>
    <w:p>
      <w:pPr>
        <w:pStyle w:val="ListBullet"/>
        <w:spacing w:after="40"/>
      </w:pPr>
      <w:r>
        <w:t>Projektai ir sandoriai: parduota 49 % Vilniaus KJ (Quaero Capital, 2026 m. kovas); statomos 399 MW / 798 MWh baterijų sistemos; Kruonio HAE 5-asis blokas ~80 % baigtas; 2026-08-11 pradėta duomenų centrų partnerio paieška [S1 p.6, p.9; S2].</w:t>
      </w:r>
    </w:p>
    <w:p>
      <w:pPr>
        <w:pStyle w:val="ListBullet"/>
        <w:spacing w:after="40"/>
      </w:pPr>
      <w:r>
        <w:t>Sauga: 2026 m. vasarį žuvo rangovo darbuotojas [S10].</w:t>
      </w:r>
    </w:p>
    <w:p>
      <w:pPr>
        <w:pStyle w:val="Heading2"/>
      </w:pPr>
      <w:r>
        <w:rPr>
          <w:color w:val="1F4E79"/>
        </w:rPr>
        <w:t>Finansai</w:t>
      </w:r>
    </w:p>
    <w:p>
      <w:pPr>
        <w:pStyle w:val="ListBullet"/>
        <w:spacing w:after="40"/>
      </w:pPr>
      <w:r>
        <w:t>6 mėn. pajamos 1 497,5 mln. EUR (+15,4 %), EBITDA 303,5 mln. EUR (262,5 mln.), grynasis pelnas 113,2 mln. EUR (111,4 mln.) [S1 p.11, p.23 – pajamas ir grynąjį pelną patikrinti PDF].</w:t>
      </w:r>
    </w:p>
    <w:p>
      <w:pPr>
        <w:pStyle w:val="ListBullet"/>
        <w:spacing w:after="40"/>
      </w:pPr>
      <w:r>
        <w:t>FFO 251,4 mln. EUR (+11,3 %), laisvieji pinigų srautai 5,3 mln. EUR (64,0 mln.); investicijos 306,1 mln. EUR (343,2 mln., −10,8 %) [S1 p.29, p.5].</w:t>
      </w:r>
    </w:p>
    <w:p>
      <w:pPr>
        <w:pStyle w:val="ListBullet"/>
        <w:spacing w:after="40"/>
      </w:pPr>
      <w:r>
        <w:t>2025 m.: koreguota EBITDA 546,1 mln. EUR (+3,4 %), koreguotas grynasis pelnas 225,7 mln. EUR (−18,7 %), grynoji skola padidėjo 18,6 % iki 1 912,0 mln. EUR, FFO / grynoji skola 21,0 % (2024 m. – 29,7 %) [S4 p.14; S5].</w:t>
      </w:r>
    </w:p>
    <w:p>
      <w:pPr>
        <w:pStyle w:val="Heading2"/>
      </w:pPr>
      <w:r>
        <w:rPr>
          <w:color w:val="1F4E79"/>
        </w:rPr>
        <w:t>Ankstesni planai ir rezultatai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Planas / tikslas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Rezultatas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Šaltiniai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2026 m. koreguota EBITDA 550–600 mln. EUR (paskelbta 2026-02-25)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6 mėn. – 306,6 mln. EUR; prognozė patvirtinta 2026-08-12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Dar vykdoma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S5; S2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2026 m. investicijos 590–690 mln. EUR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6 mėn. – 306,1 mln. EUR (44–52 % intervalo)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Dar vykdoma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S5; S1 p.5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Strategija 2025–2028: investicijos 3,0–4,0 mlrd. EUR, 2028 m. koreguota EBITDA 600–680 mln. EUR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Nauja strategija 2026–2029: investicijos 2,5–3,0 mlrd. EUR, 2029 m. EBITDA 640–700 mln. EUR (investicijų apimtis sumažinta)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Pakeista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S4 p.27-28; S6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FFO / grynoji skola ≥23 % (2026–2029)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2025 m. pab. – 21,0 %, 2026-06-30 (12 mėn.) – 22,2 %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Neįvykdyta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S6; S1 p.10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Grynoji skola / koreguota EBITDA 3–4x; reitingas BBB ar aukštesnis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3,49x; S&amp;P BBB+, Moody's Baa1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Įvykdyta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S6; S1 p.10; S7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Dividendai akcijai auga ≥3 % per metus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2025 m. 1,366 EUR (+3,0 %); 2026 m. I pusm. 0,704 EUR (+3,1 %)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Įvykdyta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S6; S5; S2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Žalioji galia 2,8–3,2 GW iki 2029 m.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Įrengta 2,1 GW, statoma 0,7 GW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Dar vykdoma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S6; S1 p.17</w:t>
            </w:r>
          </w:p>
        </w:tc>
      </w:tr>
    </w:tbl>
    <w:p/>
    <w:p>
      <w:pPr>
        <w:pStyle w:val="Heading2"/>
      </w:pPr>
      <w:r>
        <w:rPr>
          <w:color w:val="1F4E79"/>
        </w:rPr>
        <w:t>Informacija investuotojui ir išvados</w:t>
      </w:r>
    </w:p>
    <w:p>
      <w:pPr>
        <w:pStyle w:val="ListBullet"/>
        <w:spacing w:after="40"/>
      </w:pPr>
      <w:r>
        <w:t>Turimos priemonės: akcijos (IGN1L) ir trys obligacijos (2027, 2028, 2030). Obligacijos neužtikrintos, joms taikomas emitento reitingas BBB+ (S&amp;P) [S8].</w:t>
      </w:r>
    </w:p>
    <w:p>
      <w:pPr>
        <w:pStyle w:val="ListBullet"/>
        <w:spacing w:after="40"/>
      </w:pPr>
      <w:r>
        <w:t>Obligacijų turėtojams: sverto rodiklis (3,49x) – strateginiame 3–4x intervale, reitingai stabilūs; FFO / grynoji skola (22,2 %) dar žemiau ≥23 % tikslo. Investicijos daugiausia į reguliuojamus tinklus [S1 p.5, p.10; S6; S7].</w:t>
      </w:r>
    </w:p>
    <w:p>
      <w:pPr>
        <w:pStyle w:val="ListBullet"/>
        <w:spacing w:after="40"/>
      </w:pPr>
      <w:r>
        <w:t>XS1646530565: dėl 2026-10-19 supirkimo pasiūlymo reikia sprendimo (dalyvauti ar laikyti iki 2027-07-14). Pasiūlymo sąlygos ir terminas – emitento „Tender Offer Launch Announcement“ [S8].</w:t>
      </w:r>
    </w:p>
    <w:p>
      <w:pPr>
        <w:pStyle w:val="ListBullet"/>
        <w:spacing w:after="40"/>
      </w:pPr>
      <w:r>
        <w:t>Akcininkams: I pusm. dividendai 0,704 EUR (+3,1 %), koreguotas pelnas mažėja (−20,8 %). Laisvieji pinigų srautai 5,3 mln. EUR – investicijos ir dividendai finansuojami ir skola [S1 p.29; S2].</w:t>
      </w:r>
    </w:p>
    <w:p>
      <w:pPr>
        <w:pStyle w:val="ListBullet"/>
        <w:spacing w:after="40"/>
      </w:pPr>
      <w:r>
        <w:t>Išvada: finansinė būklė, palyginti su 2025 m. pabaiga, iš esmės nepakito; kredito rodikliai atitinka strategijos ribas, reitingai stabilūs. Stebėti: 9 mėn. ataskaitą (2026-11-11), vėjo ir kainų poveikį Žaliajai generacijai, FFO / skolos rodiklio grįžimą į ≥23 %.</w:t>
      </w:r>
    </w:p>
    <w:p>
      <w:pPr>
        <w:pStyle w:val="Heading2"/>
      </w:pPr>
      <w:r>
        <w:rPr>
          <w:color w:val="1F4E79"/>
        </w:rPr>
        <w:t>ESG klausimynas</w:t>
      </w:r>
    </w:p>
    <w:p>
      <w:r>
        <w:t>SEB: Fossil Fuels (coal, oil &amp; gas, peat) sector policy; Electricity &amp; Renewable Energy sector policy (turinys nepatikrintas / not verified); Environmental Policy on Climate, Nature and Water (turinys nepatikrintas / not verified); Social and Human Rights Policy (turinys nepatikrintas / not verified); Anti-corruption, Code of Conduct, Tax (turinys nepatikrintas / not 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Klausimas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Įrodymas</w:t>
            </w:r>
          </w:p>
        </w:tc>
      </w:tr>
      <w:tr>
        <w:tc>
          <w:tcPr>
            <w:tcW w:type="dxa" w:w="5216"/>
            <w:gridSpan w:val="3"/>
            <w:shd w:val="clear" w:color="auto" w:fill="DCE6F1"/>
          </w:tcPr>
          <w:p>
            <w:r/>
            <w:r>
              <w:rPr>
                <w:b/>
              </w:rPr>
              <w:t>Išimčių patikra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Anglies (kasyba ar anglies elektrinės) dalis pajamose mažesnė nei 5 %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Anglies generacijos nėra; 2025 m. ataskaitoje anglis minima tik rinkos kontekste [S4].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Nėra naujos naftos ir dujų žvalgybos / netradicinės naftos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Naftos ir dujų žvalgybos nėra. Turi dujomis kūrenamą Elektrėnų kompleksą (rezervinė galia) ir parduoda dujas klientams; dėl didesnės dujų generacijos žalioji generacijos dalis sumažėjo iki 70,2 % [S4].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Nėra sąsajų su kontroversiškais ginklais, tabaku ar lošimais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Veiklos segmentuose tokios veiklos nėra [S1].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Nėra rimtų neišspręstų skandalų (korupcija, žmogaus teisės, aplinka)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☐ Reikia peržiūrėti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Didelių neišspręstų skandalų greitoje paieškoje (2026-10-22) nerasta. 2026 m. vasarį – mirtinas nelaimingas atsitikimas su rangovo darbuotoju [S10].</w:t>
            </w:r>
          </w:p>
        </w:tc>
      </w:tr>
      <w:tr>
        <w:tc>
          <w:tcPr>
            <w:tcW w:type="dxa" w:w="5216"/>
            <w:gridSpan w:val="3"/>
            <w:shd w:val="clear" w:color="auto" w:fill="DCE6F1"/>
          </w:tcPr>
          <w:p>
            <w:r/>
            <w:r>
              <w:rPr>
                <w:b/>
              </w:rPr>
              <w:t>ESG integravimas / teigiama atranka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Emisijų mažinimo tikslai (Paryžiaus / SBTi) ir pereinamojo laikotarpio planas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SBTi patvirtino trumpojo ir ilgojo laikotarpio tikslus pagal 1,5 °C trajektoriją; nulinė emisija iki 2050 m. ar anksčiau [S4 p.10].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Tvarumo ataskaitos (CSRD/ESRS ar GRI), atskleistos 1–3 apimties emisijos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Integruota metinė ataskaita su ŠESD duomenimis: bendros emisijos 4,49 mln. t CO2e (+10,1 %), 1 apimtis +54,7 %; anglies intensyvumas (1+2) I ketv. 214 g/kWh [S4; S10].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Teigiamas indėlis (žaliosios pajamos / investicijos, ES taksonomija, žaliosios obligacijos)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☑ Atitinka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ES taksonomiją atitinkančios investicijos 2025 m. – 84,7 %; žaliosios obligacijos ir nauja EuGB obligacija [S4; S9].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Valdysena – nepriklausoma valdyba, antikorupcijos ir pranešėjų politikos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☐ Reikia peržiūrėti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Valstybės valdoma (~75 %), listinguojama Nasdaq Vilnius ir LSE. Valdybos nepriklausomumas automatiškai netikrintas.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Socialiniai aspektai – sauga, darbo ir žmogaus teisių politikos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☐ Reikia peržiūrėti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Sveikatos ir saugos rizika: mirtinas atvejis 2026 m. vasarį [S10]. Žmogaus teisių politika automatiškai netikrinta.</w:t>
            </w:r>
          </w:p>
        </w:tc>
      </w:tr>
      <w:tr>
        <w:tc>
          <w:tcPr>
            <w:tcW w:type="dxa" w:w="5216"/>
            <w:gridSpan w:val="3"/>
            <w:shd w:val="clear" w:color="auto" w:fill="DCE6F1"/>
          </w:tcPr>
          <w:p>
            <w:r/>
            <w:r>
              <w:rPr>
                <w:b/>
              </w:rPr>
              <w:t>Įsitraukimas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Klausimai įsitraukimui su emitentu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☐ Reikia peržiūrėti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Siūlomi klausimai: 1 apimties emisijų augimas dėl dujų generacijos; rangovų sauga; FFO / skolos grįžimas į ≥23 %.</w:t>
            </w:r>
          </w:p>
        </w:tc>
      </w:tr>
    </w:tbl>
    <w:p/>
    <w:p>
      <w:r>
        <w:t>ESG išvada: Atitinka SEB iškastinio kuro politikos ribas (anglies nėra). Teigiama: didelė taksonomiją atitinkančių investicijų dalis, SBTi tikslai. Stebėti dujų generacijos dalį ir saugą.</w:t>
      </w:r>
    </w:p>
    <w:p>
      <w:pPr>
        <w:pStyle w:val="Heading2"/>
      </w:pPr>
      <w:r>
        <w:rPr>
          <w:color w:val="1F4E79"/>
        </w:rPr>
        <w:t>Sankcijos ir žiniasklaida (tikrina analitikas)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Klausimas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Būsena</w:t>
            </w:r>
          </w:p>
        </w:tc>
        <w:tc>
          <w:tcPr>
            <w:tcW w:type="dxa" w:w="5216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Pastaba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Sankcijų patikra (atlieka analitikas vidinėmis priemonėmis)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☐ Reikia peržiūrėti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Tikrina analitikas vidinėmis priemonėmis.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Neigiamos žiniasklaidos patikra (įrankis pateikia radinius, analitikas patvirtina)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Nerasta</w:t>
            </w:r>
          </w:p>
        </w:tc>
        <w:tc>
          <w:tcPr>
            <w:tcW w:type="dxa" w:w="5216"/>
          </w:tcPr>
          <w:p>
            <w:r/>
            <w:r>
              <w:rPr>
                <w:sz w:val="17"/>
              </w:rPr>
              <w:t>Neigiamų naujienų greitoje paieškoje (LT, EN; 2026-10-22) nerasta. Savaitinė naujienų paieška – dashboard skiltyje „Naujienos“.</w:t>
            </w:r>
          </w:p>
        </w:tc>
      </w:tr>
    </w:tbl>
    <w:p/>
    <w:p>
      <w:pPr>
        <w:pStyle w:val="Heading2"/>
      </w:pPr>
      <w:r>
        <w:rPr>
          <w:color w:val="1F4E79"/>
        </w:rPr>
        <w:t>Šaltiniai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Ignitis Group - First six months 2026 interim report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2026-08-12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https://ignitisgrupe.lt/sites/default/files/public/inline-files/First%20six%20months%202026%20interim%20report.pdf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Press release: 6M 2026 results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2026-08-12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https://ignitisgrupe.lt/en/news/ignitis-group-reports-sustained-strategic-progress-and-consistent-financial-performance-first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Investor presentation 6M 2026 - call transcript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2026-08-12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https://ignitisgrupe.lt/sites/default/files/public/inline-files/Transcript.%20Investor%20presentation_6M%202026%20results.pdf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Integrated Annual Report 2025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2026-02-25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https://ignitisgrupe.lt/sites/default/files/public/inline-files/Integrated%20Annual%20Report%202025.pdf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Press release: 2025 results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2026-02-25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https://ignitisgrupe.lt/en/news/ignitis-group-2025-results-record-strategic-progress-07-gw-new-green-capacities-installed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Strategic Plan 2026-2029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2026-05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https://ignitisgrupe.lt/sites/default/files/public/inline-files/Ignitis%20Group%20Strategic%20Plan%202026%202029.pdf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S7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Credit ratings page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2026-10-22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https://ignitisgrupe.lt/en/investors/credit-ratings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S8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Bonds page (incl. tender offer for XS1646530565)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2026-10-22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https://ignitisgrupe.lt/en/investors/bonds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S9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Press release: inaugural EUR 300m 5-year EuGB bonds priced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2026-10-20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https://ignitisgrupe.lt/en/news/ignitis-group-prices-its-inaugural-eur-300-million-5-year-eugb-bonds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S10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First three months 2026 interim report (regulatory notice)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2026-05-13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https://data.fca.org.uk/artefacts/NSM/GNW/b8cfd694-6694-4d57-bf10-2bb5ed7ce1a4.html</w:t>
            </w:r>
          </w:p>
        </w:tc>
      </w:tr>
    </w:tbl>
    <w:p/>
    <w:p>
      <w:r>
        <w:rPr>
          <w:i/>
          <w:sz w:val="16"/>
        </w:rPr>
        <w:t>Ataskaita parengta automatiškai iš viešų šaltinių. Skaičiai pateikiami taip, kaip juos skelbia emitentas; nuorodos [S#] veda į šaltinių sąrašą. Prieš naudojant sprendimui, analitikas turi peržiūrėti pažymėtus punktus.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