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24" w:color="12355B" w:space="0"/>
        </w:pBdr>
        <w:spacing w:before="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030"/>
        <w:gridCol w:w="2608"/>
      </w:tblGrid>
      <w:tr>
        <w:tc>
          <w:tcPr>
            <w:tcW w:type="dxa" w:w="7030"/>
          </w:tcPr>
          <w:p>
            <w:pPr>
              <w:spacing w:before="0" w:after="0"/>
            </w:pPr>
            <w:r>
              <w:rPr>
                <w:b/>
                <w:caps/>
                <w:color w:val="2A78D6"/>
                <w:sz w:val="16"/>
              </w:rPr>
              <w:t>Emitento apžvalga · 6M2026</w:t>
            </w:r>
          </w:p>
          <w:p>
            <w:pPr>
              <w:spacing w:before="40" w:after="0"/>
            </w:pPr>
            <w:r>
              <w:rPr>
                <w:b/>
                <w:color w:val="12355B"/>
                <w:sz w:val="40"/>
              </w:rPr>
              <w:t>Atsinaujinančios energetikos investicijos (AEI)</w:t>
            </w:r>
          </w:p>
          <w:p>
            <w:pPr>
              <w:spacing w:before="40" w:after="0"/>
            </w:pPr>
            <w:r>
              <w:rPr>
                <w:b w:val="0"/>
                <w:color w:val="667085"/>
                <w:sz w:val="18"/>
              </w:rPr>
              <w:t>Lietuva</w:t>
            </w:r>
          </w:p>
        </w:tc>
        <w:tc>
          <w:tcPr>
            <w:tcW w:type="dxa" w:w="2608"/>
          </w:tcPr>
          <w:p>
            <w:pPr>
              <w:spacing w:before="440" w:after="0"/>
              <w:jc w:val="right"/>
            </w:pPr>
            <w:r>
              <w:rPr>
                <w:b/>
                <w:color w:val="9A6400"/>
                <w:sz w:val="18"/>
                <w:shd w:val="clear" w:color="auto" w:fill="FDF1D8"/>
              </w:rPr>
              <w:t xml:space="preserve">  ●  STEBĖTI  </w:t>
            </w:r>
          </w:p>
        </w:tc>
      </w:tr>
    </w:tbl>
    <w:p>
      <w:pPr>
        <w:pBdr>
          <w:top w:val="single" w:sz="4" w:color="D5DCE4" w:space="0"/>
        </w:pBdr>
        <w:spacing w:before="12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Pagrindinė informacija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Emitento reitingas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nerasta (no credit rating found in the reports)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Analizės data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2026-10-22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Kita ataskaita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9M 2026 interim report - expected November 2026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Šalis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Lietuva</w:t>
            </w:r>
          </w:p>
        </w:tc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Turimi vertybiniai popieriai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AEI 8.00% green bonds 2025/2027</w:t>
            </w:r>
            <w:r>
              <w:t xml:space="preserve"> </w:t>
              <w:drawing>
                <wp:inline xmlns:a="http://schemas.openxmlformats.org/drawingml/2006/main" xmlns:pic="http://schemas.openxmlformats.org/drawingml/2006/picture">
                  <wp:extent cx="91757" cy="9175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57" cy="917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B7F3B"/>
                <w:sz w:val="14"/>
              </w:rPr>
              <w:t xml:space="preserve"> Žalioji obligacija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LT0000134439  ·  8,0 % · 2027-12-13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atskiro nerasta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80" w:type="dxa"/>
          <w:left w:w="260" w:type="dxa"/>
          <w:bottom w:w="200" w:type="dxa"/>
          <w:right w:w="26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single" w:sz="24" w:color="9A6400" w:space="0"/>
              <w:bottom w:val="nil"/>
              <w:right w:val="nil"/>
            </w:tcBorders>
            <w:shd w:val="clear" w:color="auto" w:fill="FDF1D8"/>
          </w:tcPr>
          <w:p>
            <w:pPr>
              <w:spacing w:before="0" w:after="0" w:line="276" w:lineRule="auto"/>
            </w:pPr>
            <w:r>
              <w:rPr>
                <w:b/>
                <w:color w:val="1B2430"/>
                <w:sz w:val="21"/>
              </w:rPr>
              <w:t>Stebėti.</w:t>
            </w:r>
            <w:r>
              <w:rPr>
                <w:b w:val="0"/>
                <w:color w:val="1B2430"/>
                <w:sz w:val="21"/>
              </w:rPr>
              <w:t xml:space="preserve"> AEI pati nurodo, kad trumpalaikiai įsipareigojimai viršija trumpalaikį turtą, o 2026-12-04 reikia išpirkti 24,7 mln. EUR obligacijų; lėšoms gauti pradėtas projektų pardavimas</w:t>
            </w:r>
            <w:hyperlink r:id="rId13">
              <w:r>
                <w:rPr>
                  <w:color w:val="2A78D6"/>
                  <w:vertAlign w:val="superscript"/>
                  <w:sz w:val="17"/>
                </w:rPr>
                <w:t xml:space="preserve">1</w:t>
              </w:r>
            </w:hyperlink>
            <w:r>
              <w:rPr>
                <w:b w:val="0"/>
                <w:color w:val="1B2430"/>
                <w:sz w:val="21"/>
              </w:rPr>
              <w:t>. Sąlygų (kovenantų) 2026-06-30 laikomasi, nuosavo kapitalo dalis 54,5 % (riba – 50 %)</w:t>
            </w:r>
            <w:hyperlink r:id="rId14">
              <w:r>
                <w:rPr>
                  <w:color w:val="2A78D6"/>
                  <w:vertAlign w:val="superscript"/>
                  <w:sz w:val="17"/>
                </w:rPr>
                <w:t xml:space="preserve">2</w:t>
              </w:r>
            </w:hyperlink>
            <w:r>
              <w:rPr>
                <w:b w:val="0"/>
                <w:color w:val="1B2430"/>
                <w:sz w:val="21"/>
              </w:rPr>
              <w:t>.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50" w:type="dxa"/>
          <w:left w:w="170" w:type="dxa"/>
          <w:bottom w:w="150" w:type="dxa"/>
          <w:right w:w="100" w:type="dxa"/>
        </w:tblCellMar>
        <w:tblLook w:firstColumn="1" w:firstRow="1" w:lastColumn="0" w:lastRow="0" w:noHBand="0" w:noVBand="1" w:val="04A0"/>
      </w:tblPr>
      <w:tblGrid>
        <w:gridCol w:w="2260"/>
        <w:gridCol w:w="198"/>
        <w:gridCol w:w="2260"/>
        <w:gridCol w:w="198"/>
        <w:gridCol w:w="2260"/>
        <w:gridCol w:w="198"/>
        <w:gridCol w:w="2260"/>
      </w:tblGrid>
      <w:tr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Grynasis pelnas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-5,13</w:t>
            </w:r>
            <w:r>
              <w:rPr>
                <w:b w:val="0"/>
                <w:color w:val="667085"/>
                <w:sz w:val="18"/>
              </w:rPr>
              <w:t xml:space="preserve"> mln. EUR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26,4 %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Nuosavo kapitalo dalis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54,5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3,7 p. p. vs FY2025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Grynoji skola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63,5</w:t>
            </w:r>
            <w:r>
              <w:rPr>
                <w:b w:val="0"/>
                <w:color w:val="667085"/>
                <w:sz w:val="18"/>
              </w:rPr>
              <w:t xml:space="preserve"> mln. EUR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16,6 % vs FY2025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Įrengta žalioji galia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317,9</w:t>
            </w:r>
            <w:r>
              <w:rPr>
                <w:b w:val="0"/>
                <w:color w:val="667085"/>
                <w:sz w:val="18"/>
              </w:rPr>
              <w:t xml:space="preserve"> MW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 xml:space="preserve"> </w:t>
            </w:r>
          </w:p>
        </w:tc>
      </w:tr>
    </w:tbl>
    <w:p>
      <w:pPr>
        <w:spacing w:before="0" w:after="40"/>
      </w:pPr>
    </w:p>
    <w:p>
      <w:pPr>
        <w:keepNext/>
        <w:spacing w:before="200" w:after="100"/>
      </w:pPr>
      <w:r>
        <w:rPr>
          <w:b/>
          <w:color w:val="12355B"/>
          <w:sz w:val="26"/>
        </w:rPr>
        <w:t>Trumpa santrauka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Refinansavimo rizika:</w:t>
      </w:r>
      <w:r>
        <w:rPr>
          <w:b w:val="0"/>
        </w:rPr>
        <w:t xml:space="preserve"> 2026-12-04 išperkamos 8,5 % obligacijos – 24,7 mln. EUR; trumpalaikiai įsipareigojimai viršija trumpalaikį turtą; ataskaitoje nurodomas reikšmingas neapibrėžtumas dėl veiklos tęstinumo</w:t>
      </w:r>
      <w:hyperlink r:id="rId13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Parduodami projektai:</w:t>
      </w:r>
      <w:r>
        <w:rPr>
          <w:b w:val="0"/>
        </w:rPr>
        <w:t xml:space="preserve"> pasamdyti pardavimo patarėjai ir vyksta derybos su pirkėjais; 2026-06-30 Zala Elektriba SIA perleista UAB Sorlena (sandorio vertė 24,0 mln. EUR)</w:t>
      </w:r>
      <w:hyperlink r:id="rId15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color w:val="2A78D6"/>
          <w:vertAlign w:val="superscript"/>
        </w:rPr>
        <w:t>,</w:t>
      </w:r>
      <w:hyperlink r:id="rId16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Nuostolis:</w:t>
      </w:r>
      <w:r>
        <w:rPr>
          <w:b w:val="0"/>
        </w:rPr>
        <w:t xml:space="preserve"> I pusm. grynasis nuostolis 5,1 mln. EUR (prieš metus 4,1 mln.); 2025 m. – 11,7 mln. EUR</w:t>
      </w:r>
      <w:hyperlink r:id="rId17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color w:val="2A78D6"/>
          <w:vertAlign w:val="superscript"/>
        </w:rPr>
        <w:t>,</w:t>
      </w:r>
      <w:hyperlink r:id="rId18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Skola mažėja:</w:t>
      </w:r>
      <w:r>
        <w:rPr>
          <w:b w:val="0"/>
        </w:rPr>
        <w:t xml:space="preserve"> grynoji skola 63,5 mln. EUR (2025 m. pab. 76,1 mln.); 2026-06-17 visiškai išpirkta 2021–2026 m. obligacija (20,7 mln. EUR)</w:t>
      </w:r>
      <w:hyperlink r:id="rId19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color w:val="2A78D6"/>
          <w:vertAlign w:val="superscript"/>
        </w:rPr>
        <w:t>,</w:t>
      </w:r>
      <w:hyperlink r:id="rId20">
        <w:r>
          <w:rPr>
            <w:color w:val="2A78D6"/>
            <w:vertAlign w:val="superscript"/>
            <w:sz w:val="17"/>
          </w:rPr>
          <w:t xml:space="preserve">9</w:t>
        </w:r>
      </w:hyperlink>
      <w:r>
        <w:rPr>
          <w:color w:val="2A78D6"/>
          <w:vertAlign w:val="superscript"/>
        </w:rPr>
        <w:t>,</w:t>
      </w:r>
      <w:hyperlink r:id="rId16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01</w:t>
        <w:tab/>
      </w:r>
      <w:r>
        <w:rPr>
          <w:b/>
          <w:color w:val="12355B"/>
          <w:sz w:val="28"/>
        </w:rPr>
        <w:t>Turimos priemonės ir ISIN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1457"/>
        <w:gridCol w:w="2241"/>
        <w:gridCol w:w="1064"/>
        <w:gridCol w:w="1120"/>
        <w:gridCol w:w="1569"/>
        <w:gridCol w:w="2185"/>
      </w:tblGrid>
      <w:tr>
        <w:tc>
          <w:tcPr>
            <w:tcW w:type="dxa" w:w="14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ISIN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Priemonė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Kuponas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Išpirkimas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Emisijos reitingas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Pastaba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LT0000134439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AEI 8.00% green bonds 2025/2027</w:t>
            </w:r>
            <w:r>
              <w:t xml:space="preserve"> </w:t>
              <w:drawing>
                <wp:inline xmlns:a="http://schemas.openxmlformats.org/drawingml/2006/main" xmlns:pic="http://schemas.openxmlformats.org/drawingml/2006/picture">
                  <wp:extent cx="91757" cy="9175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57" cy="917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B7F3B"/>
                <w:sz w:val="14"/>
              </w:rPr>
              <w:t xml:space="preserve"> Žalioji obligacija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8,0 %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2027-12-13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atskiro nerasta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Outstanding principal EUR 32.69m at 2026-06-30 (H1 2026 note 9)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02</w:t>
        <w:tab/>
      </w:r>
      <w:r>
        <w:rPr>
          <w:b/>
          <w:color w:val="12355B"/>
          <w:sz w:val="28"/>
        </w:rPr>
        <w:t>Pagrindiniai rodikliai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254"/>
        <w:gridCol w:w="1314"/>
        <w:gridCol w:w="1314"/>
        <w:gridCol w:w="1314"/>
        <w:gridCol w:w="2441"/>
      </w:tblGrid>
      <w:tr>
        <w:tc>
          <w:tcPr>
            <w:tcW w:type="dxa" w:w="325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Rodiklis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FY2024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FY2025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6M2026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Pokytis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Visos veiklos pajamos, mln. EUR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-6,11*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3,69*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0,82*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56,4 %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Grynasis pelnas, mln. EUR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-14,78*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-11,75*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-5,13*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1,07 EURm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Turtas, mln. EUR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190,0*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174,7*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153,6*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▼ 12,1 % vs FY2025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Nuosavas kapitalas, mln. EUR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100,6*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88,8*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83,7*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13,3 %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Nuosavo kapitalo dalis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52,9 %ᶜ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50,8 %ᶜ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54,5 %ᶜ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3,7 p. p. vs FY2025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Grynoji skola, mln. EUR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62,3ᶜ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76,1*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63,5*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▼ 16,6 % vs FY2025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Įrengta žalioji galia, MW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317,9*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–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Spalvos: žalias pokytis – rodiklis gerėja, raudonas – blogėja. Paskutinio laikotarpio langelio fonas: žalias – geras lygis, geltonas – vidutinis, raudonas – silpnas (vidiniai orientyrai, config/metric_rules.yaml).</w:t>
      </w:r>
    </w:p>
    <w:p>
      <w:pPr>
        <w:spacing w:before="40" w:after="60"/>
      </w:pPr>
      <w:r>
        <w:rPr>
          <w:b w:val="0"/>
          <w:color w:val="667085"/>
          <w:sz w:val="16"/>
        </w:rPr>
        <w:t>* – paimta iš ataskaitos santraukos;  ᶜ – mūsų skaičiavimas. Mažas numeris prie teksto – nuoroda į šaltinį (paspaudus atsidaro dokumentas reikiamame puslapyje).</w:t>
      </w:r>
    </w:p>
    <w:p>
      <w:r>
        <w:drawing>
          <wp:inline xmlns:a="http://schemas.openxmlformats.org/drawingml/2006/main" xmlns:pic="http://schemas.openxmlformats.org/drawingml/2006/picture">
            <wp:extent cx="6120000" cy="22311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i_l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31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03</w:t>
        <w:tab/>
      </w:r>
      <w:r>
        <w:rPr>
          <w:b/>
          <w:color w:val="12355B"/>
          <w:sz w:val="28"/>
        </w:rPr>
        <w:t>Veiklos apžvalga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AEI – uždaro tipo investicinė bendrovė informuotiems investuotojams, valdoma UAB LORDS LB Asset Management; veiklos terminas pratęstas iki 2028-02-05</w:t>
      </w:r>
      <w:hyperlink r:id="rId24">
        <w:r>
          <w:rPr>
            <w:color w:val="2A78D6"/>
            <w:vertAlign w:val="superscript"/>
            <w:sz w:val="17"/>
          </w:rPr>
          <w:t xml:space="preserve">12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Portfelio įrengta galia 317,9 MW:</w:t>
      </w:r>
      <w:r>
        <w:rPr>
          <w:b w:val="0"/>
        </w:rPr>
        <w:t xml:space="preserve"> Žaliosios investicijos (25 %, vėjas, LT) 185,5 MW, PL SUN (Lenkija, saulė) 72,0 MW veikia, PV Energy Projects (Lenkija, saulė) 50,8 MW veikia; vystoma 590 MW saulės, 490 MW vėjo ir 57 MW kaupimo</w:t>
      </w:r>
      <w:hyperlink r:id="rId16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color w:val="2A78D6"/>
          <w:vertAlign w:val="superscript"/>
        </w:rPr>
        <w:t>,</w:t>
      </w:r>
      <w:hyperlink r:id="rId24">
        <w:r>
          <w:rPr>
            <w:color w:val="2A78D6"/>
            <w:vertAlign w:val="superscript"/>
            <w:sz w:val="17"/>
          </w:rPr>
          <w:t xml:space="preserve">12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Latvijoje statomas 112 MW vėjo parkas (WPR2):</w:t>
      </w:r>
      <w:r>
        <w:rPr>
          <w:b w:val="0"/>
        </w:rPr>
        <w:t xml:space="preserve"> pamatai baigti, pradėtas turbinų montavimas</w:t>
      </w:r>
      <w:hyperlink r:id="rId16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04</w:t>
        <w:tab/>
      </w:r>
      <w:r>
        <w:rPr>
          <w:b/>
          <w:color w:val="12355B"/>
          <w:sz w:val="28"/>
        </w:rPr>
        <w:t>Finansai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2026-06-30 turtas 153,6 mln. EUR, nuosavas kapitalas 83,7 mln. EUR, įsipareigojimai 69,9 mln. EUR; pinigai 1,7 mln. EUR (be 2,6 mln. EUR apribotų)</w:t>
      </w:r>
      <w:hyperlink r:id="rId22">
        <w:r>
          <w:rPr>
            <w:color w:val="2A78D6"/>
            <w:vertAlign w:val="superscript"/>
            <w:sz w:val="17"/>
          </w:rPr>
          <w:t xml:space="preserve">13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Išleistų obligacijų balansinė vertė 59,0 mln. EUR, paskolos 6,2 mln. EUR</w:t>
      </w:r>
      <w:hyperlink r:id="rId19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b w:val="0"/>
        </w:rPr>
        <w:t>. Įprastinių pajamų eilutės nėra – „visos pajamos“ apima tikrosios vertės pokyčius</w:t>
      </w:r>
      <w:hyperlink r:id="rId17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Lenkijos išskaičiuoto mokesčio grąžinimas:</w:t>
      </w:r>
      <w:r>
        <w:rPr>
          <w:b w:val="0"/>
        </w:rPr>
        <w:t xml:space="preserve"> 2026-06 palankus antros instancijos sprendimas, likutis su palūkanomis gautas 2026-07</w:t>
      </w:r>
      <w:hyperlink r:id="rId25">
        <w:r>
          <w:rPr>
            <w:color w:val="2A78D6"/>
            <w:vertAlign w:val="superscript"/>
            <w:sz w:val="17"/>
          </w:rPr>
          <w:t xml:space="preserve">14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05</w:t>
        <w:tab/>
      </w:r>
      <w:r>
        <w:rPr>
          <w:b/>
          <w:color w:val="12355B"/>
          <w:sz w:val="28"/>
        </w:rPr>
        <w:t>Ankstesni planai ir rezultatai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577"/>
        <w:gridCol w:w="2577"/>
        <w:gridCol w:w="3138"/>
        <w:gridCol w:w="1344"/>
      </w:tblGrid>
      <w:tr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Planas / tikslas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Rezultatas</w:t>
            </w:r>
          </w:p>
        </w:tc>
        <w:tc>
          <w:tcPr>
            <w:tcW w:type="dxa" w:w="313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Kas pasikeitė ir kodėl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Būsena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Išpirkti 2021–2026 m. 5 % žaliąsias obligacijas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Visiškai išpirkta 2026-06-17 (20,7 mln. EUR), dvi dienos po termino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Išpirkta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</w:pPr>
            <w:r>
              <w:rPr>
                <w:b/>
                <w:sz w:val="17"/>
              </w:rPr>
              <w:t>Įvykdyta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Išpirkti 24,7 mln. EUR 8,5 % obligacijas 2026-12-04, parduodant projektus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Pardavimo procesas pradėtas, sandorių dar nepaskelbta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1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Laukiama pardavimų</w:t>
            </w:r>
            <w:hyperlink r:id="rId26">
              <w:r>
                <w:rPr>
                  <w:color w:val="2A78D6"/>
                  <w:vertAlign w:val="superscript"/>
                  <w:sz w:val="14"/>
                </w:rPr>
                <w:t xml:space="preserve">15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Dar vykdoma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Prijungti likusią PL SUN ir PV Energy galią (Lenkija)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PL SUN 72,0 iš 114 MW, PV Energy 50,8 iš 67,7 MW; ~17 MW planuojama 2026-12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7">
              <w:r>
                <w:rPr>
                  <w:color w:val="2A78D6"/>
                  <w:vertAlign w:val="superscript"/>
                  <w:sz w:val="14"/>
                </w:rPr>
                <w:t xml:space="preserve">16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Statyba vyksta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Dar vykdoma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Parduoti UAB Nimela (200 MW saulės projektas)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Nuosavybės perleidimas buvo laukiamas iki 2026-06-30; birželio pabaigoje Nimela vis dar portfelyje (3,35 mln. EUR)</w:t>
            </w:r>
            <w:hyperlink r:id="rId27">
              <w:r>
                <w:rPr>
                  <w:color w:val="2A78D6"/>
                  <w:vertAlign w:val="superscript"/>
                  <w:sz w:val="14"/>
                </w:rPr>
                <w:t xml:space="preserve">16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Terminas praėjo, sandoris neužbaigtas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E7E5"/>
          </w:tcPr>
          <w:p>
            <w:pPr>
              <w:spacing w:before="0" w:after="0"/>
            </w:pPr>
            <w:r>
              <w:rPr>
                <w:b/>
                <w:sz w:val="17"/>
              </w:rPr>
              <w:t>Neįvykdyta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06</w:t>
        <w:tab/>
      </w:r>
      <w:r>
        <w:rPr>
          <w:b/>
          <w:color w:val="12355B"/>
          <w:sz w:val="28"/>
        </w:rPr>
        <w:t>Informacija investuotojui ir išvados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Turima priemonė:</w:t>
      </w:r>
      <w:r>
        <w:rPr>
          <w:b w:val="0"/>
        </w:rPr>
        <w:t xml:space="preserve"> 8,00 % žaliosios obligacijos LT0000134439, išleistos 2025-06-13, išpirkimas 2027-12-13; likutis 32,7 mln. EUR</w:t>
      </w:r>
      <w:hyperlink r:id="rId14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b w:val="0"/>
        </w:rPr>
        <w:t>. 5 % obligacija LT0000405938 išpirkta 2026-06-17 ir nebeturima</w:t>
      </w:r>
      <w:hyperlink r:id="rId16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Sąlygos (kovenantai):</w:t>
      </w:r>
      <w:r>
        <w:rPr>
          <w:b w:val="0"/>
        </w:rPr>
        <w:t xml:space="preserve"> nuosavo kapitalo dalis ≥50 % (yra 54,5 %, mūsų skaičiavimas), svertas ≤75 %, minimalus likvidumas 1,5 mln. EUR; 2026-06-30 laikomasi</w:t>
      </w:r>
      <w:hyperlink r:id="rId14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b w:val="0"/>
        </w:rPr>
        <w:t>. 2025 m. pab. kapitalo dalis buvo 50,8 % – arti ribos</w:t>
      </w:r>
      <w:hyperlink r:id="rId21">
        <w:r>
          <w:rPr>
            <w:color w:val="2A78D6"/>
            <w:vertAlign w:val="superscript"/>
            <w:sz w:val="17"/>
          </w:rPr>
          <w:t xml:space="preserve">10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Eilė:</w:t>
      </w:r>
      <w:r>
        <w:rPr>
          <w:b w:val="0"/>
        </w:rPr>
        <w:t xml:space="preserve"> turimos obligacijos išperkamos po 2026-12 obligacijos, todėl jų grąžinimas priklauso nuo sėkmingo turto pardavimo ir 2026-12 išpirkimo. Obligacijų užtikrinimas ataskaitose nerastas.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Išvada:</w:t>
      </w:r>
      <w:r>
        <w:rPr>
          <w:b w:val="0"/>
        </w:rPr>
        <w:t xml:space="preserve"> padidinta rizika – nuostolinga veikla, trumpalaikio likvidumo trūkumas ir artėjantis išpirkimas; stebėti turto pardavimus ir 2026-12-04 išpirkimą.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07</w:t>
        <w:tab/>
      </w:r>
      <w:r>
        <w:rPr>
          <w:b/>
          <w:color w:val="12355B"/>
          <w:sz w:val="28"/>
        </w:rPr>
        <w:t>Rinka ir aplinka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Sąnaudos ir portfelis:</w:t>
      </w:r>
      <w:r>
        <w:rPr>
          <w:b w:val="0"/>
        </w:rPr>
        <w:t xml:space="preserve"> administracinės sąnaudos 2,2 mln. EUR (1,9 mln.), palūkanų sąnaudos 3,7 mln. EUR (4,0 mln.); investicinis turtas sumažėjo iki 138,4 mln. EUR (165,0 mln.) – parduota ir grąžinta 27,7 mln. EUR</w:t>
      </w:r>
      <w:hyperlink r:id="rId17">
        <w:r>
          <w:rPr>
            <w:color w:val="2A78D6"/>
            <w:vertAlign w:val="superscript"/>
            <w:sz w:val="17"/>
          </w:rPr>
          <w:t xml:space="preserve">17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Elektros rinka:</w:t>
      </w:r>
      <w:r>
        <w:rPr>
          <w:b w:val="0"/>
        </w:rPr>
        <w:t xml:space="preserve"> vadovybės vertinimu, dabartinės elektros rinkos sąlygos ir paklausa palaiko projektų ekonominį gyvybingumą</w:t>
      </w:r>
      <w:hyperlink r:id="rId28">
        <w:r>
          <w:rPr>
            <w:color w:val="2A78D6"/>
            <w:vertAlign w:val="superscript"/>
            <w:sz w:val="17"/>
          </w:rPr>
          <w:t xml:space="preserve">18</w:t>
        </w:r>
      </w:hyperlink>
      <w:r>
        <w:rPr>
          <w:b w:val="0"/>
        </w:rPr>
        <w:t>; balansavimo (mFRR) rinkoje „Potentia Industriae“ uždirbo 1 356 tūkst. EUR, „Rokvėja“ – 850 tūkst. EUR (iki gegužės)</w:t>
      </w:r>
      <w:hyperlink r:id="rId29">
        <w:r>
          <w:rPr>
            <w:color w:val="2A78D6"/>
            <w:vertAlign w:val="superscript"/>
            <w:sz w:val="17"/>
          </w:rPr>
          <w:t xml:space="preserve">19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Perspektyva:</w:t>
      </w:r>
      <w:r>
        <w:rPr>
          <w:b w:val="0"/>
        </w:rPr>
        <w:t xml:space="preserve"> paskutiniai saulės projektai (apie 17 MW) prie tinklo bus prijungti 2026 m. gruodį</w:t>
      </w:r>
      <w:hyperlink r:id="rId29">
        <w:r>
          <w:rPr>
            <w:color w:val="2A78D6"/>
            <w:vertAlign w:val="superscript"/>
            <w:sz w:val="17"/>
          </w:rPr>
          <w:t xml:space="preserve">19</w:t>
        </w:r>
      </w:hyperlink>
      <w:r>
        <w:rPr>
          <w:b w:val="0"/>
        </w:rPr>
        <w:t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515"/>
        <w:gridCol w:w="1814"/>
        <w:gridCol w:w="1360"/>
        <w:gridCol w:w="1360"/>
        <w:gridCol w:w="1587"/>
      </w:tblGrid>
      <w:tr>
        <w:tc>
          <w:tcPr>
            <w:tcW w:type="dxa" w:w="351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Dabar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Prieš 3 mėn.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Prieš 12 mėn.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Pokytis per 12 mėn.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ECB indėlių palūkanų norma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2,50 %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2,25 %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3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2,64 %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2,34 %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2,03 %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0,61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2,92 %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2,60 %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2,10 %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0,82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12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3,25 %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2,80 %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2,17 %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1,08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zonos AAA vyriausybių 10 m. pajamingumas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3,38 % (2026-10)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3,23 %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2,72 %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0,66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zonos infliacija (SVKI, metinė)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1,90 % (2025-12)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2,20 %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2,40 %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▼ 0,50 p. p.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Euro zonos palūkanos ir infliacija (ECB duomenys, mėnesio pabaigos reikšmė; Euribor ir infliacija – mėnesio vidurkis). Svarbu kintamų palūkanų ir perkainojamoms (reset) obligacijoms bei refinansavimo kaštams.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08</w:t>
        <w:tab/>
      </w:r>
      <w:r>
        <w:rPr>
          <w:b/>
          <w:color w:val="12355B"/>
          <w:sz w:val="28"/>
        </w:rPr>
        <w:t>Ką rašo spauda</w:t>
      </w:r>
    </w:p>
    <w:p>
      <w:pPr>
        <w:spacing w:before="40" w:after="60"/>
      </w:pPr>
      <w:r>
        <w:rPr>
          <w:b w:val="0"/>
          <w:color w:val="667085"/>
          <w:sz w:val="18"/>
        </w:rPr>
        <w:t>Automatinė naujienų paieška (Google News, LT), 2026-07-27 – 2026-10-25: 1 pranešimų.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20"/>
        <w:gridCol w:w="1360"/>
        <w:gridCol w:w="7257"/>
      </w:tblGrid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2026-10-13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KITA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0">
              <w:r>
                <w:rPr>
                  <w:color w:val="1B2430"/>
                  <w:sz w:val="18"/>
                </w:rPr>
                <w:t xml:space="preserve">UAB “Atsinaujinančios energetikos investicijos” skelbia 2026 m. rugsėjo mėn. GAV</w:t>
              </w:r>
            </w:hyperlink>
            <w:r>
              <w:rPr>
                <w:b w:val="0"/>
                <w:color w:val="667085"/>
                <w:sz w:val="15"/>
              </w:rPr>
              <w:t xml:space="preserve">   GlobeNewswire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09</w:t>
        <w:tab/>
      </w:r>
      <w:r>
        <w:rPr>
          <w:b/>
          <w:color w:val="12355B"/>
          <w:sz w:val="28"/>
        </w:rPr>
        <w:t>ESG report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Exclusionary screening (companies)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involved in excluded sectors: controversial and nuclear weapons, tobacco, gambling and restricted sectors in fossil fuel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Tik saulės, vėjo ir kaupimo projektai</w:t>
            </w:r>
            <w:hyperlink r:id="rId16">
              <w:r>
                <w:rPr>
                  <w:color w:val="2A78D6"/>
                  <w:vertAlign w:val="superscript"/>
                  <w:sz w:val="15"/>
                </w:rPr>
                <w:t xml:space="preserve">5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red flag/signal related to controversies based on UN Global Compact, OECD Guidelines for Multinational Enterprises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Ginčų pagal JT Pasaulinį susitarimą ar EBPO gaires nerasta.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 the list of sanctions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Nerasta EU, UN, UK, US OFAC konsoliduotuose sankcijų sąrašuose (automatinė patikra 2026-10-25).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Rankinė patikra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OFAC sankcijų paieška</w:t>
            </w:r>
            <w:hyperlink r:id="rId31">
              <w:r>
                <w:rPr>
                  <w:color w:val="2A78D6"/>
                  <w:vertAlign w:val="superscript"/>
                  <w:sz w:val="15"/>
                </w:rPr>
                <w:t xml:space="preserve">20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ES sankcijų žemėlapis</w:t>
            </w:r>
            <w:hyperlink r:id="rId32">
              <w:r>
                <w:rPr>
                  <w:color w:val="2A78D6"/>
                  <w:vertAlign w:val="superscript"/>
                  <w:sz w:val="15"/>
                </w:rPr>
                <w:t xml:space="preserve">21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SEB eNameChecker (vidinė SEB sistema).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issues were not identified from adverse media checks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Neigiamų naujienų nerasta (2026-10-22).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Naujienų suvestinė 2026-07-27 – 2026-10-25: 1 pranešimų, iš jų su neigiamu žodžiu antraštėje – 0 (plačiau – skiltyje „Ką rašo spauda“).</w:t>
            </w:r>
          </w:p>
        </w:tc>
      </w:tr>
    </w:tbl>
    <w:p>
      <w:pPr>
        <w:spacing w:before="120" w:after="40"/>
      </w:pPr>
      <w:r>
        <w:rPr>
          <w:i/>
          <w:color w:val="333333"/>
          <w:sz w:val="18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ESG integration and positive screening (positive answers imply higher allocation)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promoting environmental or social characteristics (activities, ESG policy, good ESG rating, etc)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„Tamsiai žalias“ fondas pagal SFDR 9 straipsnį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Investuoja į atsinaujinančią energiją</w:t>
            </w:r>
            <w:hyperlink r:id="rId16">
              <w:r>
                <w:rPr>
                  <w:color w:val="2A78D6"/>
                  <w:vertAlign w:val="superscript"/>
                  <w:sz w:val="15"/>
                </w:rPr>
                <w:t xml:space="preserve">5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activities of the company or it’s strategy is aligned with the taxonomy and/or Paris agreement targets (e.g. net zero commitment)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Visos obligacijų emisijos – žaliosios obligacijos</w:t>
            </w:r>
            <w:hyperlink r:id="rId14">
              <w:r>
                <w:rPr>
                  <w:color w:val="2A78D6"/>
                  <w:vertAlign w:val="superscript"/>
                  <w:sz w:val="15"/>
                </w:rPr>
                <w:t xml:space="preserve">2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yellow flag/signal related to controversies based on UN Global Compact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ESG geltonų signalų nerasta.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Finansinė rizika (veiklos tęstinumas) aprašyta skiltyje „Investuotojui“.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fulfills the expectations from SEB thematic and sector policies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Taikoma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Elektros ir atsinaujinančios energijos politika</w:t>
            </w:r>
            <w:hyperlink r:id="rId33">
              <w:r>
                <w:rPr>
                  <w:color w:val="2A78D6"/>
                  <w:vertAlign w:val="superscript"/>
                  <w:sz w:val="15"/>
                </w:rPr>
                <w:t xml:space="preserve">22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Atitinka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Projektai ES / EEE su leidimais (pvz., Ekoelektra – visi statybos leidimai gauti)</w:t>
            </w:r>
            <w:hyperlink r:id="rId16">
              <w:r>
                <w:rPr>
                  <w:color w:val="2A78D6"/>
                  <w:vertAlign w:val="superscript"/>
                  <w:sz w:val="15"/>
                </w:rPr>
                <w:t xml:space="preserve">5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Engagement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Is there a need for pro-active engagement with the company?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ESG požiūriu nereikia: atsinaujinančios energijos fondas.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Indicators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indicators of the company support the targets of sustainability and PAI indicators followed by the Fund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Skelbiama įrengta galia (317,9 MW) ir gamyba</w:t>
            </w:r>
            <w:hyperlink r:id="rId16">
              <w:r>
                <w:rPr>
                  <w:color w:val="2A78D6"/>
                  <w:vertAlign w:val="superscript"/>
                  <w:sz w:val="15"/>
                </w:rPr>
                <w:t xml:space="preserve">5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spacing w:before="120" w:after="40"/>
      </w:pPr>
      <w:r>
        <w:rPr>
          <w:b/>
          <w:sz w:val="19"/>
        </w:rPr>
        <w:t xml:space="preserve">Conclusion: </w:t>
      </w:r>
      <w:r>
        <w:rPr>
          <w:b w:val="0"/>
          <w:sz w:val="19"/>
        </w:rPr>
        <w:t>Išimčių ir raudonų signalų nėra. SFDR 9 str. atsinaujinančios energijos fondas; rizika – finansinė, ne ESG.</w:t>
      </w:r>
    </w:p>
    <w:p>
      <w:pPr>
        <w:spacing w:before="40" w:after="60"/>
      </w:pPr>
      <w:r>
        <w:rPr>
          <w:b w:val="0"/>
          <w:color w:val="667085"/>
          <w:sz w:val="16"/>
        </w:rPr>
        <w:t>Taikytos SEB politikos: Policy on Sustainability Considerations in Investments (SEB AB); Electricity &amp; Renewable Energy sector policy; Environmental Policy on Climate, Nature and Water (thematic); Social and Human Rights Policy (thematic); Governance expectations in sector policies (anti-corruption, tax, reporting)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10</w:t>
        <w:tab/>
      </w:r>
      <w:r>
        <w:rPr>
          <w:b/>
          <w:color w:val="12355B"/>
          <w:sz w:val="28"/>
        </w:rPr>
        <w:t>Šaltiniai</w:t>
      </w:r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1.</w:t>
        <w:tab/>
      </w:r>
      <w:hyperlink r:id="rId13">
        <w:r>
          <w:rPr>
            <w:color w:val="2A78D6"/>
            <w:sz w:val="17"/>
          </w:rPr>
          <w:t xml:space="preserve">AEI - Interim financial statements 6M 2026 (unaudited, IFRS), p. 32-33,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2.</w:t>
        <w:tab/>
      </w:r>
      <w:hyperlink r:id="rId14">
        <w:r>
          <w:rPr>
            <w:color w:val="2A78D6"/>
            <w:sz w:val="17"/>
          </w:rPr>
          <w:t xml:space="preserve">AEI - Interim financial statements 6M 2026 (unaudited, IFRS), p. 21,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3.</w:t>
        <w:tab/>
      </w:r>
      <w:hyperlink r:id="rId13">
        <w:r>
          <w:rPr>
            <w:color w:val="2A78D6"/>
            <w:sz w:val="17"/>
          </w:rPr>
          <w:t xml:space="preserve">AEI - Interim financial statements 6M 2026 (unaudited, IFRS), p. 32-34,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4.</w:t>
        <w:tab/>
      </w:r>
      <w:hyperlink r:id="rId15">
        <w:r>
          <w:rPr>
            <w:color w:val="2A78D6"/>
            <w:sz w:val="17"/>
          </w:rPr>
          <w:t xml:space="preserve">AEI - Interim financial statements 6M 2026 (unaudited, IFRS), p. 24-25, 33,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5.</w:t>
        <w:tab/>
      </w:r>
      <w:hyperlink r:id="rId16">
        <w:r>
          <w:rPr>
            <w:color w:val="2A78D6"/>
            <w:sz w:val="17"/>
          </w:rPr>
          <w:t xml:space="preserve">AEI - Investor factsheet as of 2026-06-30, p. 1,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6.</w:t>
        <w:tab/>
      </w:r>
      <w:hyperlink r:id="rId17">
        <w:r>
          <w:rPr>
            <w:color w:val="2A78D6"/>
            <w:sz w:val="17"/>
          </w:rPr>
          <w:t xml:space="preserve">AEI - Interim financial statements 6M 2026 (unaudited, IFRS), p. 4,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7.</w:t>
        <w:tab/>
      </w:r>
      <w:hyperlink r:id="rId18">
        <w:r>
          <w:rPr>
            <w:color w:val="2A78D6"/>
            <w:sz w:val="17"/>
          </w:rPr>
          <w:t xml:space="preserve">AEI - Financial statements 12M 2025 (unaudited), p. 4,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8.</w:t>
        <w:tab/>
      </w:r>
      <w:hyperlink r:id="rId19">
        <w:r>
          <w:rPr>
            <w:color w:val="2A78D6"/>
            <w:sz w:val="17"/>
          </w:rPr>
          <w:t xml:space="preserve">AEI - Interim financial statements 6M 2026 (unaudited, IFRS), p. 19,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9.</w:t>
        <w:tab/>
      </w:r>
      <w:hyperlink r:id="rId20">
        <w:r>
          <w:rPr>
            <w:color w:val="2A78D6"/>
            <w:sz w:val="17"/>
          </w:rPr>
          <w:t xml:space="preserve">AEI - Financial statements 12M 2025 (unaudited), p. 24,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10.</w:t>
        <w:tab/>
      </w:r>
      <w:hyperlink r:id="rId21">
        <w:r>
          <w:rPr>
            <w:color w:val="2A78D6"/>
            <w:sz w:val="17"/>
          </w:rPr>
          <w:t xml:space="preserve">AEI - Financial statements 12M 2025 (unaudited), p. 3,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11.</w:t>
        <w:tab/>
      </w:r>
      <w:hyperlink r:id="rId22">
        <w:r>
          <w:rPr>
            <w:color w:val="2A78D6"/>
            <w:sz w:val="17"/>
          </w:rPr>
          <w:t xml:space="preserve">AEI - Interim financial statements 6M 2026 (unaudited, IFRS), p. 3,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12.</w:t>
        <w:tab/>
      </w:r>
      <w:hyperlink r:id="rId24">
        <w:r>
          <w:rPr>
            <w:color w:val="2A78D6"/>
            <w:sz w:val="17"/>
          </w:rPr>
          <w:t xml:space="preserve">AEI - Interim financial statements 6M 2026 (unaudited, IFRS), p. 9,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13.</w:t>
        <w:tab/>
      </w:r>
      <w:hyperlink r:id="rId22">
        <w:r>
          <w:rPr>
            <w:color w:val="2A78D6"/>
            <w:sz w:val="17"/>
          </w:rPr>
          <w:t xml:space="preserve">AEI - Interim financial statements 6M 2026 (unaudited, IFRS), p. 3, 19,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14.</w:t>
        <w:tab/>
      </w:r>
      <w:hyperlink r:id="rId25">
        <w:r>
          <w:rPr>
            <w:color w:val="2A78D6"/>
            <w:sz w:val="17"/>
          </w:rPr>
          <w:t xml:space="preserve">AEI - Interim financial statements 6M 2026 (unaudited, IFRS), p. 17,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15.</w:t>
        <w:tab/>
      </w:r>
      <w:hyperlink r:id="rId26">
        <w:r>
          <w:rPr>
            <w:color w:val="2A78D6"/>
            <w:sz w:val="17"/>
          </w:rPr>
          <w:t xml:space="preserve">AEI - Interim financial statements 6M 2026 (unaudited, IFRS), p. 33,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16.</w:t>
        <w:tab/>
      </w:r>
      <w:hyperlink r:id="rId27">
        <w:r>
          <w:rPr>
            <w:color w:val="2A78D6"/>
            <w:sz w:val="17"/>
          </w:rPr>
          <w:t xml:space="preserve">AEI - Financial statements 12M 2025 (unaudited), p. 17,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17.</w:t>
        <w:tab/>
      </w:r>
      <w:hyperlink r:id="rId17">
        <w:r>
          <w:rPr>
            <w:color w:val="2A78D6"/>
            <w:sz w:val="17"/>
          </w:rPr>
          <w:t xml:space="preserve">AEI - Interim financial statements 6M 2026 (unaudited, IFRS), p. 4, 14,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18.</w:t>
        <w:tab/>
      </w:r>
      <w:hyperlink r:id="rId28">
        <w:r>
          <w:rPr>
            <w:color w:val="2A78D6"/>
            <w:sz w:val="17"/>
          </w:rPr>
          <w:t xml:space="preserve">AEI - Interim financial statements 6M 2026 (unaudited, IFRS), p. 18,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19.</w:t>
        <w:tab/>
      </w:r>
      <w:hyperlink r:id="rId29">
        <w:r>
          <w:rPr>
            <w:color w:val="2A78D6"/>
            <w:sz w:val="17"/>
          </w:rPr>
          <w:t xml:space="preserve">AEI - Investor factsheet as of 2026-06-30, p. 2,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20.</w:t>
        <w:tab/>
      </w:r>
      <w:hyperlink r:id="rId31">
        <w:r>
          <w:rPr>
            <w:color w:val="2A78D6"/>
            <w:sz w:val="17"/>
          </w:rPr>
          <w:t xml:space="preserve">OFAC Sanctions List Search (US Treasury)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21.</w:t>
        <w:tab/>
      </w:r>
      <w:hyperlink r:id="rId32">
        <w:r>
          <w:rPr>
            <w:color w:val="2A78D6"/>
            <w:sz w:val="17"/>
          </w:rPr>
          <w:t xml:space="preserve">EU Sanctions Map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22.</w:t>
        <w:tab/>
      </w:r>
      <w:hyperlink r:id="rId33">
        <w:r>
          <w:rPr>
            <w:color w:val="2A78D6"/>
            <w:sz w:val="17"/>
          </w:rPr>
          <w:t xml:space="preserve">SEB Sector Policy on Electricity &amp; Renewable Energy (2026-04-23), p. 6-8, 2026-04-23</w:t>
        </w:r>
      </w:hyperlink>
    </w:p>
    <w:p>
      <w:pPr>
        <w:spacing w:before="40" w:after="60"/>
      </w:pPr>
      <w:r>
        <w:rPr>
          <w:b w:val="0"/>
          <w:color w:val="667085"/>
          <w:sz w:val="16"/>
        </w:rPr>
        <w:t>Ataskaita parengta iš viešų šaltinių. Skaičiai pateikiami taip, kaip juos skelbia emitentas; maži numeriai prie teksto veda į šaltinių sąrašą.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20" w:right="1134" w:bottom="1020" w:left="1134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Atsinaujinančios energetikos investicijos (AEI)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Atsinaujinančios energetikos investicijos (AEI)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color="D5DCE4" w:space="4"/>
      </w:pBdr>
      <w:tabs>
        <w:tab w:pos="9638" w:val="right"/>
      </w:tabs>
    </w:pPr>
    <w:r>
      <w:rPr>
        <w:b/>
        <w:color w:val="12355B"/>
        <w:sz w:val="16"/>
      </w:rPr>
      <w:t>Atsinaujinančios energetikos investicijos (AEI)</w:t>
    </w:r>
    <w:r>
      <w:rPr>
        <w:b w:val="0"/>
        <w:color w:val="667085"/>
        <w:sz w:val="16"/>
      </w:rPr>
      <w:tab/>
      <w:t>Emitento apžvalga · 6M2026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hyperlink" Target="https://nasdaqbaltic.com/market/upload/reports/aei/2026_q2_en_con_esef.pdf#page=32" TargetMode="External"/><Relationship Id="rId14" Type="http://schemas.openxmlformats.org/officeDocument/2006/relationships/hyperlink" Target="https://nasdaqbaltic.com/market/upload/reports/aei/2026_q2_en_con_esef.pdf#page=21" TargetMode="External"/><Relationship Id="rId15" Type="http://schemas.openxmlformats.org/officeDocument/2006/relationships/hyperlink" Target="https://nasdaqbaltic.com/market/upload/reports/aei/2026_q2_en_con_esef.pdf#page=24" TargetMode="External"/><Relationship Id="rId16" Type="http://schemas.openxmlformats.org/officeDocument/2006/relationships/hyperlink" Target="https://nasdaqbaltic.com/market/upload/reports/aei/2026_q2_en.pdf#page=1" TargetMode="External"/><Relationship Id="rId17" Type="http://schemas.openxmlformats.org/officeDocument/2006/relationships/hyperlink" Target="https://nasdaqbaltic.com/market/upload/reports/aei/2026_q2_en_con_esef.pdf#page=4" TargetMode="External"/><Relationship Id="rId18" Type="http://schemas.openxmlformats.org/officeDocument/2006/relationships/hyperlink" Target="https://nasdaqbaltic.com/market/upload/reports/aei/2025_q4_en_con.pdf#page=4" TargetMode="External"/><Relationship Id="rId19" Type="http://schemas.openxmlformats.org/officeDocument/2006/relationships/hyperlink" Target="https://nasdaqbaltic.com/market/upload/reports/aei/2026_q2_en_con_esef.pdf#page=19" TargetMode="External"/><Relationship Id="rId20" Type="http://schemas.openxmlformats.org/officeDocument/2006/relationships/hyperlink" Target="https://nasdaqbaltic.com/market/upload/reports/aei/2025_q4_en_con.pdf#page=24" TargetMode="External"/><Relationship Id="rId21" Type="http://schemas.openxmlformats.org/officeDocument/2006/relationships/hyperlink" Target="https://nasdaqbaltic.com/market/upload/reports/aei/2025_q4_en_con.pdf#page=3" TargetMode="External"/><Relationship Id="rId22" Type="http://schemas.openxmlformats.org/officeDocument/2006/relationships/hyperlink" Target="https://nasdaqbaltic.com/market/upload/reports/aei/2026_q2_en_con_esef.pdf#page=3" TargetMode="External"/><Relationship Id="rId23" Type="http://schemas.openxmlformats.org/officeDocument/2006/relationships/image" Target="media/image2.png"/><Relationship Id="rId24" Type="http://schemas.openxmlformats.org/officeDocument/2006/relationships/hyperlink" Target="https://nasdaqbaltic.com/market/upload/reports/aei/2026_q2_en_con_esef.pdf#page=9" TargetMode="External"/><Relationship Id="rId25" Type="http://schemas.openxmlformats.org/officeDocument/2006/relationships/hyperlink" Target="https://nasdaqbaltic.com/market/upload/reports/aei/2026_q2_en_con_esef.pdf#page=17" TargetMode="External"/><Relationship Id="rId26" Type="http://schemas.openxmlformats.org/officeDocument/2006/relationships/hyperlink" Target="https://nasdaqbaltic.com/market/upload/reports/aei/2026_q2_en_con_esef.pdf#page=33" TargetMode="External"/><Relationship Id="rId27" Type="http://schemas.openxmlformats.org/officeDocument/2006/relationships/hyperlink" Target="https://nasdaqbaltic.com/market/upload/reports/aei/2025_q4_en_con.pdf#page=17" TargetMode="External"/><Relationship Id="rId28" Type="http://schemas.openxmlformats.org/officeDocument/2006/relationships/hyperlink" Target="https://nasdaqbaltic.com/market/upload/reports/aei/2026_q2_en_con_esef.pdf#page=18" TargetMode="External"/><Relationship Id="rId29" Type="http://schemas.openxmlformats.org/officeDocument/2006/relationships/hyperlink" Target="https://nasdaqbaltic.com/market/upload/reports/aei/2026_q2_en.pdf#page=2" TargetMode="External"/><Relationship Id="rId30" Type="http://schemas.openxmlformats.org/officeDocument/2006/relationships/hyperlink" Target="https://news.google.com/rss/articles/CBMi9gFBVV95cUxNWmZDczdRcTl4a3laUEh6RmFVU3pyeGNyOS1aTmZuQ3ZFOVo5Qzd3ZVVJNU5saW9yZktveTdTRzMtazZXUm9reFZoUm9DbTdFZTBlMVFjRnY4dEw2SENCcFYwOTF0VW4yaW1CV25wdUxDNE9tTllKaDFhUGNLX1hMbkEtMFY5UkJGRTVoaXdybFRBdWRhQmJiVzhlcXoxOUJyME9zNGFKaVFvcTBpWDQwXy16VUtpQXFsaFJnLU9ZSU1BQ01NQTYtV0ZjTFNhRXVYRXVQZFExZndsOVJGRjlEVzBGdzdXa3lwWW1MYU1ZT2prczFUVGc?oc=5" TargetMode="External"/><Relationship Id="rId31" Type="http://schemas.openxmlformats.org/officeDocument/2006/relationships/hyperlink" Target="https://sanctionssearch.ofac.treas.gov/" TargetMode="External"/><Relationship Id="rId32" Type="http://schemas.openxmlformats.org/officeDocument/2006/relationships/hyperlink" Target="https://www.sanctionsmap.eu/#/main" TargetMode="External"/><Relationship Id="rId33" Type="http://schemas.openxmlformats.org/officeDocument/2006/relationships/hyperlink" Target="https://webapp.sebgroup.com/mb/mblib.nsf/dld/60D2454400789893C12587D70030AFC1?opendocu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