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Bank (Lithuanian universal bank; retail, SME, corporate,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8.75%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4.853%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4.597%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10.75%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3.739%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OK, but profit is falling.</w:t>
            </w:r>
            <w:r>
              <w:rPr>
                <w:b w:val="0"/>
                <w:color w:val="1B2430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(own calculation)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Pension reform:</w:t>
      </w:r>
      <w:r>
        <w:rPr>
          <w:b w:val="0"/>
        </w:rPr>
        <w:t xml:space="preserve"> net profit EUR 23.2m (-27%) due to a one-off goodwill impairment caused by the pension reform; part of the withdrawn pension money was used to repay consumer loans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Core business growing:</w:t>
      </w:r>
      <w:r>
        <w:rPr>
          <w:b w:val="0"/>
        </w:rPr>
        <w:t xml:space="preserve"> net interest income +6% to EUR 72.5m, loans +8% (&gt;EUR 3.9bn), deposits +15%; impairments only EUR 0.3m (cost of risk 0.01%)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the bank sees the greatest uncertainty in the impact of geopolitics on the wider economy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2026-07-27 – 2026-10-25: 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6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