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Issuer review · 9M2026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Coop Pank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Estonia · Bank (retail and SME banking in Estonia)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OK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Key facts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Issuer rating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Moody's Baa1 long-term deposit rating, outlook stable; BCA baa3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Analysis date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Next report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Unaudited Q4 2026 and annual results - 2027-02-18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Country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Estonia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Securities held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Coop Pank 12% AT1 notes (2023)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EE3300003649  ·  12% · perpetual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Position OK.</w:t>
            </w:r>
            <w:r>
              <w:rPr>
                <w:b w:val="0"/>
                <w:color w:val="1B2430"/>
                <w:sz w:val="21"/>
              </w:rPr>
              <w:t xml:space="preserve"> 9M profit EUR 25.6m (+19%, own calculation), CET1 14.75%, total capital 19.86%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b w:val="0"/>
                <w:color w:val="1B2430"/>
                <w:sz w:val="21"/>
              </w:rPr>
              <w:t>. To watch: on 2026-10-21 the Estonian FSA ordered improvements to governance, internal control and risk management (no fine)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profit</w:t>
            </w:r>
            <w:r>
              <w:rPr>
                <w:b w:val="0"/>
                <w:color w:val="667085"/>
                <w:sz w:val="14"/>
              </w:rPr>
              <w:t xml:space="preserve">  ·  9M2026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25.6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19.1 % vs 9M2025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CET1 ratio</w:t>
            </w:r>
            <w:r>
              <w:rPr>
                <w:b w:val="0"/>
                <w:color w:val="667085"/>
                <w:sz w:val="14"/>
              </w:rPr>
              <w:t xml:space="preserve">  ·  9M2026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14.75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0.6 p. p.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Total capital ratio</w:t>
            </w:r>
            <w:r>
              <w:rPr>
                <w:b w:val="0"/>
                <w:color w:val="667085"/>
                <w:sz w:val="14"/>
              </w:rPr>
              <w:t xml:space="preserve">  ·  9M2026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19.86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1.32 p. p.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LCR</w:t>
            </w:r>
            <w:r>
              <w:rPr>
                <w:b w:val="0"/>
                <w:color w:val="667085"/>
                <w:sz w:val="14"/>
              </w:rPr>
              <w:t xml:space="preserve">  ·  9M2026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213.29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27.84 p. p. vs 9M2025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Quick summary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Profit up:</w:t>
      </w:r>
      <w:r>
        <w:rPr>
          <w:b w:val="0"/>
        </w:rPr>
        <w:t xml:space="preserve"> 9M net interest income EUR 63.1m (54.2m), profit EUR 25.6m (21.5m); Q3 ROE 14.6%, cost/income 52.5%</w:t>
      </w:r>
      <w:hyperlink r:id="rId13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Growth:</w:t>
      </w:r>
      <w:r>
        <w:rPr>
          <w:b w:val="0"/>
        </w:rPr>
        <w:t xml:space="preserve"> loans EUR 2.30bn (+14% year on year, own calculation), deposits EUR 2.37bn</w:t>
      </w:r>
      <w:hyperlink r:id="rId15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Capital and liquidity:</w:t>
      </w:r>
      <w:r>
        <w:rPr>
          <w:b w:val="0"/>
        </w:rPr>
        <w:t xml:space="preserve"> CET1 14.75%, T1 16.72%, total 19.86%; leverage 7.88%; LCR 213%, NSFR 125%</w:t>
      </w:r>
      <w:hyperlink r:id="rId15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Supervisory precept:</w:t>
      </w:r>
      <w:r>
        <w:rPr>
          <w:b w:val="0"/>
        </w:rPr>
        <w:t xml:space="preserve"> after an inspection, on 2026-10-21 the Estonian FSA ordered improvements to governance, internal control, risk management, reporting and lending procedures; the bank agrees, deadlines in 2026-2027, no impact on reported results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Instruments held and ISINs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Instrument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Coupon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Maturity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Issue rating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Note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EE3300003649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Coop Pank 12% AT1 notes (2023)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12%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perpetual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Perpetual AT1; temporary write-down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Key ratios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Metric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FY2024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9M2025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9M2026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Change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interest income, EUR m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77.6*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73.3*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54.2*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63.1*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16.4 %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operating income, EUR m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81.9*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79.4*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58.4*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66.9*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14.6 %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profit, EUR m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32.2*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28.7*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21.5*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25.6*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19.1 %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Cost/income ratio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49.6%*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52.3%*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2.7 p. p. vs FY2024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ROE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16.2%*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12.9%*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3.3 p. p. vs FY2024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Loans to customers, EUR m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1,774*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2,114.1*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2,023.3*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2,301.4*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13.7 %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Customer deposits, EUR m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1,886*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2,124.5*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1,957.9*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2,368.6*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21.0 %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assets, EUR m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2,703.0*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2,531.9*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2,965.6*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▲ 17.1 %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Equity, EUR m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212*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234.5*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227.3*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251.6*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10.7 %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CET1 ratio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14.28%*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14.15%*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14.75%*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0.6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capital ratio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19.4%*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18.54%*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19.86%*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1.32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Leverage ratio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8.08%*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7.88%*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0.2 p. p.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LCR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207%*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202%*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185.45%*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213.29%*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27.84 p. p.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NSFR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120.04%*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125.16%*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5.12 p. p. vs 9M2025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Colours: green change – the metric is improving, red – worsening. Latest-period cell background: green – good level, amber – average, red – weak (internal benchmarks,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taken from the report summary;  ᶜ – own calculation. Small numbers next to text link to the source (opens the document at the cited page).</w:t>
      </w:r>
    </w:p>
    <w:p>
      <w:r>
        <w:drawing>
          <wp:inline xmlns:a="http://schemas.openxmlformats.org/drawingml/2006/main" xmlns:pic="http://schemas.openxmlformats.org/drawingml/2006/picture">
            <wp:extent cx="6120000" cy="223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p-pank_e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Business performance review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An Estonian bank whose strategic shareholder is Coop Eesti; Coop Investeeringud 22%, Coop cooperatives 19%, Andres Sonn 8%</w:t>
      </w:r>
      <w:hyperlink r:id="rId19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color w:val="2A78D6"/>
          <w:vertAlign w:val="superscript"/>
        </w:rPr>
        <w:t>,</w:t>
      </w:r>
      <w:hyperlink r:id="rId23">
        <w:r>
          <w:rPr>
            <w:color w:val="2A78D6"/>
            <w:vertAlign w:val="superscript"/>
            <w:sz w:val="17"/>
          </w:rPr>
          <w:t xml:space="preserve">15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In September 2026 the EMTN programme was raised to EUR 1.5bn (adding senior unsecured and Tier 2 notes); a synthetic securitisation with the EIF was finalised in June 2026</w:t>
      </w:r>
      <w:hyperlink r:id="rId24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Financials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FY2025 profit EUR 28.7m (32.2m), ROE 12.9% (16.2%), cost/income 52.3% (49.6%)</w:t>
      </w:r>
      <w:hyperlink r:id="rId16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Dividends:</w:t>
      </w:r>
      <w:r>
        <w:rPr>
          <w:b w:val="0"/>
        </w:rPr>
        <w:t xml:space="preserve"> 6.5 cents a share paid in April 2026; policy is 25% of pre-tax profit</w:t>
      </w:r>
      <w:hyperlink r:id="rId16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color w:val="2A78D6"/>
          <w:vertAlign w:val="superscript"/>
        </w:rPr>
        <w:t>,</w:t>
      </w:r>
      <w:hyperlink r:id="rId25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Past plans vs outcomes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 / target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Outcome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What changed and why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Status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By 2030: 10% loan market share, profit ≥EUR 60m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9M 2026 profit EUR 25.6m</w:t>
            </w:r>
            <w:hyperlink r:id="rId25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Long-term target</w:t>
            </w:r>
            <w:hyperlink r:id="rId25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ROE ≥15%, cost/income &lt;45%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Q3 ROE 14.6%, cost/income 52.5%</w:t>
            </w:r>
            <w:hyperlink r:id="rId25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ROE near target, costs still too high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</w:pPr>
            <w:r>
              <w:rPr>
                <w:b/>
                <w:sz w:val="17"/>
              </w:rPr>
              <w:t>Partly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Implement the FSA precept (2026-2027)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New commitment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New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Investor information &amp; conclusions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Instrument held:</w:t>
      </w:r>
      <w:r>
        <w:rPr>
          <w:b w:val="0"/>
        </w:rPr>
        <w:t xml:space="preserve"> 12% perpetual AT1 note EE3300003649, issued 2023-09-18, EUR 12m, quarterly coupon; first call date 2028-09-18; unlisted</w:t>
      </w:r>
      <w:hyperlink r:id="rId26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Terms:</w:t>
      </w:r>
      <w:r>
        <w:rPr>
          <w:b w:val="0"/>
        </w:rPr>
        <w:t xml:space="preserve"> subordinated, below deposits and Tier 2; the bank may cancel coupons at its discretion and cancelled coupons do not accumulate; principal is temporarily written down if group CET1 falls below the trigger in the Final Terms (this series' trigger level was not found)</w:t>
      </w:r>
      <w:hyperlink r:id="rId27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Headroom:</w:t>
      </w:r>
      <w:r>
        <w:rPr>
          <w:b w:val="0"/>
        </w:rPr>
        <w:t xml:space="preserve"> CET1 14.75%, well above requirements; the bank meets all capital requirements</w:t>
      </w:r>
      <w:hyperlink r:id="rId21">
        <w:r>
          <w:rPr>
            <w:color w:val="2A78D6"/>
            <w:vertAlign w:val="superscript"/>
            <w:sz w:val="17"/>
          </w:rPr>
          <w:t xml:space="preserve">20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Conclusion:</w:t>
      </w:r>
      <w:r>
        <w:rPr>
          <w:b w:val="0"/>
        </w:rPr>
        <w:t xml:space="preserve"> moderate risk – a profitable bank with good capital headroom; AT1 risk and a supervisory precept.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Market and environment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Growth and Euribor:</w:t>
      </w:r>
      <w:r>
        <w:rPr>
          <w:b w:val="0"/>
        </w:rPr>
        <w:t xml:space="preserve"> Q3 profit EUR 9.1m (+30% y/y) on higher lending volumes, good portfolio quality and rising Euribor</w:t>
      </w:r>
      <w:hyperlink r:id="rId28">
        <w:r>
          <w:rPr>
            <w:color w:val="2A78D6"/>
            <w:vertAlign w:val="superscript"/>
            <w:sz w:val="17"/>
          </w:rPr>
          <w:t xml:space="preserve">21</w:t>
        </w:r>
      </w:hyperlink>
      <w:r>
        <w:rPr>
          <w:b w:val="0"/>
        </w:rPr>
        <w:t>; NIM 3.2% (3.0% a year earlier)</w:t>
      </w:r>
      <w:hyperlink r:id="rId13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Funding and risk:</w:t>
      </w:r>
      <w:r>
        <w:rPr>
          <w:b w:val="0"/>
        </w:rPr>
        <w:t xml:space="preserve"> cost of funding 2.1% (2.3%), deposits +EUR 131m in the quarter; impairments EUR 0.4m, overdue loans 2% (2.3%)</w:t>
      </w:r>
      <w:hyperlink r:id="rId28">
        <w:r>
          <w:rPr>
            <w:color w:val="2A78D6"/>
            <w:vertAlign w:val="superscript"/>
            <w:sz w:val="17"/>
          </w:rPr>
          <w:t xml:space="preserve">21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Targets:</w:t>
      </w:r>
      <w:r>
        <w:rPr>
          <w:b w:val="0"/>
        </w:rPr>
        <w:t xml:space="preserve"> more than EUR 60m annual profit by 2030 and faster growth than the Estonian banking market</w:t>
      </w:r>
      <w:hyperlink r:id="rId28">
        <w:r>
          <w:rPr>
            <w:color w:val="2A78D6"/>
            <w:vertAlign w:val="superscript"/>
            <w:sz w:val="17"/>
          </w:rPr>
          <w:t xml:space="preserve">21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Now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3 months ago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 months ago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12-month change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deposit facility rate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2.50%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2.25%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2.64%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2.34%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2.03%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2.92%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3.25%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2.80%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2.17%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1.08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AAA government 10-year yield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3.38%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3.23%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2.72%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0.66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inflation (HICP, annual)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1.90%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2.40%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0.50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area rates and inflation (ECB data, end-of-month value; Euribor and inflation – monthly average). Relevant for floating-rate and reset bonds and refinancing costs.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In the press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Supervisory precept:</w:t>
      </w:r>
      <w:r>
        <w:rPr>
          <w:b w:val="0"/>
        </w:rPr>
        <w:t xml:space="preserve"> on 2026-10-21 the press reported that the Estonian FSA ordered the bank to change its internal control and lending processes</w:t>
      </w:r>
      <w:hyperlink r:id="rId29">
        <w:r>
          <w:rPr>
            <w:color w:val="2A78D6"/>
            <w:vertAlign w:val="superscript"/>
            <w:sz w:val="17"/>
          </w:rPr>
          <w:t xml:space="preserve">22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Shares:</w:t>
      </w:r>
      <w:r>
        <w:rPr>
          <w:b w:val="0"/>
        </w:rPr>
        <w:t xml:space="preserve"> the bank is buying back its own shares (notice 2026-10-19); Trigon bought shares for more than EUR 1m (2026-09-25)</w:t>
      </w:r>
      <w:hyperlink r:id="rId30">
        <w:r>
          <w:rPr>
            <w:color w:val="2A78D6"/>
            <w:vertAlign w:val="superscript"/>
            <w:sz w:val="17"/>
          </w:rPr>
          <w:t xml:space="preserve">23</w:t>
        </w:r>
      </w:hyperlink>
      <w:r>
        <w:rPr>
          <w:color w:val="2A78D6"/>
          <w:vertAlign w:val="superscript"/>
        </w:rPr>
        <w:t>,</w:t>
      </w:r>
      <w:hyperlink r:id="rId31">
        <w:r>
          <w:rPr>
            <w:color w:val="2A78D6"/>
            <w:vertAlign w:val="superscript"/>
            <w:sz w:val="17"/>
          </w:rPr>
          <w:t xml:space="preserve">24</w:t>
        </w:r>
      </w:hyperlink>
      <w:r>
        <w:rPr>
          <w:b w:val="0"/>
        </w:rPr>
        <w:t>.</w:t>
      </w:r>
    </w:p>
    <w:p>
      <w:pPr>
        <w:spacing w:before="40" w:after="60"/>
      </w:pPr>
      <w:r>
        <w:rPr>
          <w:b w:val="0"/>
          <w:color w:val="667085"/>
          <w:sz w:val="18"/>
        </w:rPr>
        <w:t>Automatic news scan (Google News, EE), 2026-07-27 – 2026-10-25: 12 articles.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2026-10-21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B42318"/>
                <w:sz w:val="14"/>
                <w:shd w:val="clear" w:color="auto" w:fill="FDE7E5"/>
              </w:rPr>
              <w:t xml:space="preserve"> ATTENTION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9">
              <w:r>
                <w:rPr>
                  <w:color w:val="1B2430"/>
                  <w:sz w:val="18"/>
                </w:rPr>
                <w:t xml:space="preserve">Coop Pank sai finantsinspektsioonilt ettekirjutuse. Pank peab muutma sisekontrolli ja laenutegevust</w:t>
              </w:r>
            </w:hyperlink>
            <w:r>
              <w:rPr>
                <w:b w:val="0"/>
                <w:color w:val="667085"/>
                <w:sz w:val="15"/>
              </w:rPr>
              <w:t xml:space="preserve">   Äripäev  ·  1 more similar articles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2026-10-19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9A6400"/>
                <w:sz w:val="14"/>
                <w:shd w:val="clear" w:color="auto" w:fill="FDF1D8"/>
              </w:rPr>
              <w:t xml:space="preserve"> DEAL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0">
              <w:r>
                <w:rPr>
                  <w:color w:val="1B2430"/>
                  <w:sz w:val="18"/>
                </w:rPr>
                <w:t xml:space="preserve">Coop Pank AS oma aktsiate omandamise tehingud</w:t>
              </w:r>
            </w:hyperlink>
            <w:r>
              <w:rPr>
                <w:b w:val="0"/>
                <w:color w:val="667085"/>
                <w:sz w:val="15"/>
              </w:rPr>
              <w:t xml:space="preserve">   GlobeNewswire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2026-10-21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F4E79"/>
                <w:sz w:val="14"/>
                <w:shd w:val="clear" w:color="auto" w:fill="EAF1F8"/>
              </w:rPr>
              <w:t xml:space="preserve"> RESULTS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2">
              <w:r>
                <w:rPr>
                  <w:color w:val="1B2430"/>
                  <w:sz w:val="18"/>
                </w:rPr>
                <w:t xml:space="preserve">Analītiķis: LHV peļņa pārsniedza gaidīto, taču Coop Pank akcijai ir lielāks izaugsmes potenciāls</w:t>
              </w:r>
            </w:hyperlink>
            <w:r>
              <w:rPr>
                <w:b w:val="0"/>
                <w:color w:val="667085"/>
                <w:sz w:val="15"/>
              </w:rPr>
              <w:t xml:space="preserve">   Investoru Klubs  ·  2 more similar articles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2026-10-13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F4E79"/>
                <w:sz w:val="14"/>
                <w:shd w:val="clear" w:color="auto" w:fill="EAF1F8"/>
              </w:rPr>
              <w:t xml:space="preserve"> RESULTS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3">
              <w:r>
                <w:rPr>
                  <w:color w:val="1B2430"/>
                  <w:sz w:val="18"/>
                </w:rPr>
                <w:t xml:space="preserve">Coop Pank AS korraldab 2026. aasta III kvartali majandustulemuste tutvustamiseks veebiseminari</w:t>
              </w:r>
            </w:hyperlink>
            <w:r>
              <w:rPr>
                <w:b w:val="0"/>
                <w:color w:val="667085"/>
                <w:sz w:val="15"/>
              </w:rPr>
              <w:t xml:space="preserve">   GlobeNewswire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2026-10-16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4">
              <w:r>
                <w:rPr>
                  <w:color w:val="1B2430"/>
                  <w:sz w:val="18"/>
                </w:rPr>
                <w:t xml:space="preserve">Parandus: Coop Pank AS 2027. aasta finantskalender</w:t>
              </w:r>
            </w:hyperlink>
            <w:r>
              <w:rPr>
                <w:b w:val="0"/>
                <w:color w:val="667085"/>
                <w:sz w:val="15"/>
              </w:rPr>
              <w:t xml:space="preserve">   GlobeNewswire  ·  1 more similar articles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5">
              <w:r>
                <w:rPr>
                  <w:color w:val="1B2430"/>
                  <w:sz w:val="18"/>
                </w:rPr>
                <w:t xml:space="preserve">Coop Pank rahastas tegevust välismaiste hoiustega</w:t>
              </w:r>
            </w:hyperlink>
            <w:r>
              <w:rPr>
                <w:b w:val="0"/>
                <w:color w:val="667085"/>
                <w:sz w:val="15"/>
              </w:rPr>
              <w:t xml:space="preserve">   Inbox.lv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2026-09-25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1">
              <w:r>
                <w:rPr>
                  <w:color w:val="1B2430"/>
                  <w:sz w:val="18"/>
                </w:rPr>
                <w:t xml:space="preserve">Trigon ostis Coop Panka rohkem kui miljoni euro eest. “Tundsime huvi kogu müüdava paki vastu”</w:t>
              </w:r>
            </w:hyperlink>
            <w:r>
              <w:rPr>
                <w:b w:val="0"/>
                <w:color w:val="667085"/>
                <w:sz w:val="15"/>
              </w:rPr>
              <w:t xml:space="preserve">   Äripäev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2026-09-25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6">
              <w:r>
                <w:rPr>
                  <w:color w:val="1B2430"/>
                  <w:sz w:val="18"/>
                </w:rPr>
                <w:t xml:space="preserve">Coop Pank: euribori tõus ei tohiks kaasa tuua järsku makseraskuste kasvu</w:t>
              </w:r>
            </w:hyperlink>
            <w:r>
              <w:rPr>
                <w:b w:val="0"/>
                <w:color w:val="667085"/>
                <w:sz w:val="15"/>
              </w:rPr>
              <w:t xml:space="preserve">   Majandus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Retail and SME banking in Estonia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activity in excluded sectors</w:t>
            </w:r>
            <w:hyperlink r:id="rId19">
              <w:r>
                <w:rPr>
                  <w:color w:val="2A78D6"/>
                  <w:vertAlign w:val="superscript"/>
                  <w:sz w:val="15"/>
                </w:rPr>
                <w:t xml:space="preserve">12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UN Global Compact or OECD related controversies found.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Not found on the EU, UN, UK, US OFAC consolidated sanctions lists (automatic check 2026-10-25).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Manual check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OFAC sanctions search</w:t>
            </w:r>
            <w:hyperlink r:id="rId37">
              <w:r>
                <w:rPr>
                  <w:color w:val="2A78D6"/>
                  <w:vertAlign w:val="superscript"/>
                  <w:sz w:val="15"/>
                </w:rPr>
                <w:t xml:space="preserve">25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EU Sanctions Map</w:t>
            </w:r>
            <w:hyperlink r:id="rId38">
              <w:r>
                <w:rPr>
                  <w:color w:val="2A78D6"/>
                  <w:vertAlign w:val="superscript"/>
                  <w:sz w:val="15"/>
                </w:rPr>
                <w:t xml:space="preserve">26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eNameChecker (internal SEB system).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Found: on 2026-10-21 the FSA ordered improvements to governance, internal control and risk management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fine, the bank agrees</w:t>
            </w:r>
            <w:hyperlink r:id="rId14">
              <w:r>
                <w:rPr>
                  <w:color w:val="2A78D6"/>
                  <w:vertAlign w:val="superscript"/>
                  <w:sz w:val="15"/>
                </w:rPr>
                <w:t xml:space="preserve">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News summary 2026-07-27 – 2026-10-25: 12 articles, 1 with an adverse keyword in the headline (details in the section "In the press").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Headlines with an adverse keyword: „Coop Pank sai finantsinspektsioonilt ettekirjutuse.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Pank peab muutma sisekontrolli ja laenutegevust“ (Äripäev, 2026-10-21).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Finances solar and wind projects (81.3 MW)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An ESG policy is approved</w:t>
            </w:r>
            <w:hyperlink r:id="rId39">
              <w:r>
                <w:rPr>
                  <w:color w:val="2A78D6"/>
                  <w:vertAlign w:val="superscript"/>
                  <w:sz w:val="15"/>
                </w:rPr>
                <w:t xml:space="preserve">27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5"/>
                </w:rPr>
                <w:t xml:space="preserve">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 sustainability report is published (2025)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Yellow flag: a supervisory precept on governance and internal control</w:t>
            </w:r>
            <w:hyperlink r:id="rId14">
              <w:r>
                <w:rPr>
                  <w:color w:val="2A78D6"/>
                  <w:vertAlign w:val="superscript"/>
                  <w:sz w:val="15"/>
                </w:rPr>
                <w:t xml:space="preserve">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Applicable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Investments policy</w:t>
            </w:r>
            <w:hyperlink r:id="rId40">
              <w:r>
                <w:rPr>
                  <w:color w:val="2A78D6"/>
                  <w:vertAlign w:val="superscript"/>
                  <w:sz w:val="15"/>
                </w:rPr>
                <w:t xml:space="preserve">28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Met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 regulated EU bank with an ESG policy and a sustainability report</w:t>
            </w:r>
            <w:hyperlink r:id="rId14">
              <w:r>
                <w:rPr>
                  <w:color w:val="2A78D6"/>
                  <w:vertAlign w:val="superscript"/>
                  <w:sz w:val="15"/>
                </w:rPr>
                <w:t xml:space="preserve">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Could be improved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Financed emissions are not disclosed</w:t>
            </w:r>
            <w:hyperlink r:id="rId39">
              <w:r>
                <w:rPr>
                  <w:color w:val="2A78D6"/>
                  <w:vertAlign w:val="superscript"/>
                  <w:sz w:val="15"/>
                </w:rPr>
                <w:t xml:space="preserve">27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need: the precept is supervised by the FSA.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Renewable energy financing is reported (81.3 MW, about 3.8% of the corporate portfolio)</w:t>
            </w:r>
            <w:hyperlink r:id="rId39">
              <w:r>
                <w:rPr>
                  <w:color w:val="2A78D6"/>
                  <w:vertAlign w:val="superscript"/>
                  <w:sz w:val="15"/>
                </w:rPr>
                <w:t xml:space="preserve">27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No exclusions or red flags. Yellow flag – a supervisory precept on governance.</w:t>
      </w:r>
    </w:p>
    <w:p>
      <w:pPr>
        <w:spacing w:before="40" w:after="60"/>
      </w:pPr>
      <w:r>
        <w:rPr>
          <w:b w:val="0"/>
          <w:color w:val="667085"/>
          <w:sz w:val="16"/>
        </w:rPr>
        <w:t>SEB policies applied: Policy on Sustainability Considerations in Investments (SEB AB); Financial sector - no dedicated SEB sector policy (thematic policies applied);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Sources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Coop Pank - Investor page (ratings, calendar),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Coop Pank - Interim report 9M 2026 (unaudited), p. 5, 7, 2026-10-20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Coop Pank - Announcement on Finantsinspektsioon precept, 2026-10-21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3">
        <w:r>
          <w:rPr>
            <w:color w:val="2A78D6"/>
            <w:sz w:val="17"/>
          </w:rPr>
          <w:t xml:space="preserve">Coop Pank - Interim report 9M 2026 (unaudited), p. 5, 9, 2026-10-20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5">
        <w:r>
          <w:rPr>
            <w:color w:val="2A78D6"/>
            <w:sz w:val="17"/>
          </w:rPr>
          <w:t xml:space="preserve">Coop Pank - Interim report 9M 2026 (unaudited), p. 6, 10, 2026-10-20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5">
        <w:r>
          <w:rPr>
            <w:color w:val="2A78D6"/>
            <w:sz w:val="17"/>
          </w:rPr>
          <w:t xml:space="preserve">Coop Pank - Interim report 9M 2026 (unaudited), p. 6-7, 2026-10-20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6">
        <w:r>
          <w:rPr>
            <w:color w:val="2A78D6"/>
            <w:sz w:val="17"/>
          </w:rPr>
          <w:t xml:space="preserve">Coop Pank - Investor reporting page (key figures),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7">
        <w:r>
          <w:rPr>
            <w:color w:val="2A78D6"/>
            <w:sz w:val="17"/>
          </w:rPr>
          <w:t xml:space="preserve">Coop Pank - Interim report 9M 2026 (unaudited), p. 9, 2026-10-20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3">
        <w:r>
          <w:rPr>
            <w:color w:val="2A78D6"/>
            <w:sz w:val="17"/>
          </w:rPr>
          <w:t xml:space="preserve">Coop Pank - Interim report 9M 2026 (unaudited), p. 5, 2026-10-20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18">
        <w:r>
          <w:rPr>
            <w:color w:val="2A78D6"/>
            <w:sz w:val="17"/>
          </w:rPr>
          <w:t xml:space="preserve">Coop Pank - Interim report 9M 2026 (unaudited), p. 10, 2026-10-20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15">
        <w:r>
          <w:rPr>
            <w:color w:val="2A78D6"/>
            <w:sz w:val="17"/>
          </w:rPr>
          <w:t xml:space="preserve">Coop Pank - Interim report 9M 2026 (unaudited), p. 6, 2026-10-20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19">
        <w:r>
          <w:rPr>
            <w:color w:val="2A78D6"/>
            <w:sz w:val="17"/>
          </w:rPr>
          <w:t xml:space="preserve">Coop Pank - Q3 2026 results announcement, 2026-10-20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20">
        <w:r>
          <w:rPr>
            <w:color w:val="2A78D6"/>
            <w:sz w:val="17"/>
          </w:rPr>
          <w:t xml:space="preserve">Coop Pank - Annual report 2025 (consolidated), p. 18,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1">
        <w:r>
          <w:rPr>
            <w:color w:val="2A78D6"/>
            <w:sz w:val="17"/>
          </w:rPr>
          <w:t xml:space="preserve">Coop Pank - Interim report 9M 2026 (unaudited), p. 7, 2026-10-20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3">
        <w:r>
          <w:rPr>
            <w:color w:val="2A78D6"/>
            <w:sz w:val="17"/>
          </w:rPr>
          <w:t xml:space="preserve">Coop Pank - Interim report 9M 2026 (unaudited), p. 23, 2026-10-20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24">
        <w:r>
          <w:rPr>
            <w:color w:val="2A78D6"/>
            <w:sz w:val="17"/>
          </w:rPr>
          <w:t xml:space="preserve">Coop Pank - Interim report 9M 2026 (unaudited), p. 4, 7, 2026-10-20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25">
        <w:r>
          <w:rPr>
            <w:color w:val="2A78D6"/>
            <w:sz w:val="17"/>
          </w:rPr>
          <w:t xml:space="preserve">Coop Pank - Targets and strategy,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26">
        <w:r>
          <w:rPr>
            <w:color w:val="2A78D6"/>
            <w:sz w:val="17"/>
          </w:rPr>
          <w:t xml:space="preserve">Coop Pank - Subordinated bonds page,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27">
        <w:r>
          <w:rPr>
            <w:color w:val="2A78D6"/>
            <w:sz w:val="17"/>
          </w:rPr>
          <w:t xml:space="preserve">Coop Pank - Terms and Conditions of AT1 Temporary Write-Down Notes (4, 5(2), 7), 2023-03-15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21">
        <w:r>
          <w:rPr>
            <w:color w:val="2A78D6"/>
            <w:sz w:val="17"/>
          </w:rPr>
          <w:t xml:space="preserve">Coop Pank - Interim report 9M 2026 (unaudited), p. 7-8, 2026-10-20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28">
        <w:r>
          <w:rPr>
            <w:color w:val="2A78D6"/>
            <w:sz w:val="17"/>
          </w:rPr>
          <w:t xml:space="preserve">Coop Pank - Interim report 9M 2026 (unaudited), p. 3, 2026-10-20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29">
        <w:r>
          <w:rPr>
            <w:color w:val="2A78D6"/>
            <w:sz w:val="17"/>
          </w:rPr>
          <w:t xml:space="preserve">Äripäev – Coop Pank sai finantsinspektsioonilt ettekirjutuse. Pank peab muutma sisekontrolli ja laenutegevust, 2026-10-21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23.</w:t>
        <w:tab/>
      </w:r>
      <w:hyperlink r:id="rId30">
        <w:r>
          <w:rPr>
            <w:color w:val="2A78D6"/>
            <w:sz w:val="17"/>
          </w:rPr>
          <w:t xml:space="preserve">GlobeNewswire – Coop Pank AS oma aktsiate omandamise tehingud, 2026-10-19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24.</w:t>
        <w:tab/>
      </w:r>
      <w:hyperlink r:id="rId31">
        <w:r>
          <w:rPr>
            <w:color w:val="2A78D6"/>
            <w:sz w:val="17"/>
          </w:rPr>
          <w:t xml:space="preserve">Äripäev – Trigon ostis Coop Panka rohkem kui miljoni euro eest. “Tundsime huvi kogu müüdava paki vastu”, 2026-09-25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25.</w:t>
        <w:tab/>
      </w:r>
      <w:hyperlink r:id="rId37">
        <w:r>
          <w:rPr>
            <w:color w:val="2A78D6"/>
            <w:sz w:val="17"/>
          </w:rPr>
          <w:t xml:space="preserve">OFAC Sanctions List Search (US Treasury)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26.</w:t>
        <w:tab/>
      </w:r>
      <w:hyperlink r:id="rId38">
        <w:r>
          <w:rPr>
            <w:color w:val="2A78D6"/>
            <w:sz w:val="17"/>
          </w:rPr>
          <w:t xml:space="preserve">EU Sanctions Map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27.</w:t>
        <w:tab/>
      </w:r>
      <w:hyperlink r:id="rId39">
        <w:r>
          <w:rPr>
            <w:color w:val="2A78D6"/>
            <w:sz w:val="17"/>
          </w:rPr>
          <w:t xml:space="preserve">Coop Pank - Annual report 2025 (consolidated), p. 36-37,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28.</w:t>
        <w:tab/>
      </w:r>
      <w:hyperlink r:id="rId40">
        <w:r>
          <w:rPr>
            <w:color w:val="2A78D6"/>
            <w:sz w:val="17"/>
          </w:rPr>
          <w:t xml:space="preserve">SEB Policy on Sustainability Considerations in Investments (2026-04-15), 2026-04-15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Report prepared from public sources. Figures are as published by the issuer; small numbers next to the text point to the source list.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Coop Pank · 9M2026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Coop Pank · 9M2026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Coop Pank</w:t>
    </w:r>
    <w:r>
      <w:rPr>
        <w:b w:val="0"/>
        <w:color w:val="667085"/>
        <w:sz w:val="16"/>
      </w:rPr>
      <w:tab/>
      <w:t>Issuer review · 9M2026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www.cooppank.ee/en/investor" TargetMode="External"/><Relationship Id="rId13" Type="http://schemas.openxmlformats.org/officeDocument/2006/relationships/hyperlink" Target="https://res30f.cooppank.ee/image/upload/investor_lehed/aruandlus/ENG/2026/Interim_report_9m_2026_EN.pdf#page=5" TargetMode="External"/><Relationship Id="rId14" Type="http://schemas.openxmlformats.org/officeDocument/2006/relationships/hyperlink" Target="https://view.news.eu.nasdaq.com/view?id=b2038756d5f89f1731d5413c841d20571&amp;lang=en&amp;src=listed" TargetMode="External"/><Relationship Id="rId15" Type="http://schemas.openxmlformats.org/officeDocument/2006/relationships/hyperlink" Target="https://res30f.cooppank.ee/image/upload/investor_lehed/aruandlus/ENG/2026/Interim_report_9m_2026_EN.pdf#page=6" TargetMode="External"/><Relationship Id="rId16" Type="http://schemas.openxmlformats.org/officeDocument/2006/relationships/hyperlink" Target="https://www.cooppank.ee/en/investor/reporting" TargetMode="External"/><Relationship Id="rId17" Type="http://schemas.openxmlformats.org/officeDocument/2006/relationships/hyperlink" Target="https://res30f.cooppank.ee/image/upload/investor_lehed/aruandlus/ENG/2026/Interim_report_9m_2026_EN.pdf#page=9" TargetMode="External"/><Relationship Id="rId18" Type="http://schemas.openxmlformats.org/officeDocument/2006/relationships/hyperlink" Target="https://res30f.cooppank.ee/image/upload/investor_lehed/aruandlus/ENG/2026/Interim_report_9m_2026_EN.pdf#page=10" TargetMode="External"/><Relationship Id="rId19" Type="http://schemas.openxmlformats.org/officeDocument/2006/relationships/hyperlink" Target="https://view.news.eu.nasdaq.com/view?id=b4b85a453f265185186c742780376177c&amp;lang=en&amp;src=listed" TargetMode="External"/><Relationship Id="rId20" Type="http://schemas.openxmlformats.org/officeDocument/2006/relationships/hyperlink" Target="https://res30f.cooppank.ee/image/upload/investor_lehed/uldkoosolekud/teated/eng/26/Coop_Pank_annual_report_consolidated_2025_eng.pdf#page=18" TargetMode="External"/><Relationship Id="rId21" Type="http://schemas.openxmlformats.org/officeDocument/2006/relationships/hyperlink" Target="https://res30f.cooppank.ee/image/upload/investor_lehed/aruandlus/ENG/2026/Interim_report_9m_2026_EN.pdf#page=7" TargetMode="External"/><Relationship Id="rId22" Type="http://schemas.openxmlformats.org/officeDocument/2006/relationships/image" Target="media/image1.png"/><Relationship Id="rId23" Type="http://schemas.openxmlformats.org/officeDocument/2006/relationships/hyperlink" Target="https://res30f.cooppank.ee/image/upload/investor_lehed/aruandlus/ENG/2026/Interim_report_9m_2026_EN.pdf#page=23" TargetMode="External"/><Relationship Id="rId24" Type="http://schemas.openxmlformats.org/officeDocument/2006/relationships/hyperlink" Target="https://res30f.cooppank.ee/image/upload/investor_lehed/aruandlus/ENG/2026/Interim_report_9m_2026_EN.pdf#page=4" TargetMode="External"/><Relationship Id="rId25" Type="http://schemas.openxmlformats.org/officeDocument/2006/relationships/hyperlink" Target="https://www.cooppank.ee/en/investor/management/targets-and-strategy" TargetMode="External"/><Relationship Id="rId26" Type="http://schemas.openxmlformats.org/officeDocument/2006/relationships/hyperlink" Target="https://www.cooppank.ee/en/investor/bonds/subordinated-bonds" TargetMode="External"/><Relationship Id="rId27" Type="http://schemas.openxmlformats.org/officeDocument/2006/relationships/hyperlink" Target="https://res30f.cooppank.ee/image/upload/v1718006426/dokumendid/est/Terms_and_Conditions_of_Coop_Pank_AT1_Temporary_Write-Down_Notes_2022.pdf" TargetMode="External"/><Relationship Id="rId28" Type="http://schemas.openxmlformats.org/officeDocument/2006/relationships/hyperlink" Target="https://res30f.cooppank.ee/image/upload/investor_lehed/aruandlus/ENG/2026/Interim_report_9m_2026_EN.pdf#page=3" TargetMode="External"/><Relationship Id="rId29" Type="http://schemas.openxmlformats.org/officeDocument/2006/relationships/hyperlink" Target="https://news.google.com/rss/articles/CBMi3gFBVV95cUxOaUJNVW5MdGxWeVdLZ3hOXzNnYVdLQjYyTmw4MnV0ckdfTllGdF9hRk0wMFRlZGpSUmd0RGdXNGExMnVCWXhKd3BpLXZnYzV5QnhBZ0NiYXZFLUtfeHM3c0FPT0piZnRyT0stSzJrRkdFUkZWQ2QycUpxQVFIdW1iQmhNQmJHeTJCd01obWVIU2FxdnVlaV9ROUNUZUtmNWJZUnNDcHBuRGszTGlPNExyb19IUEdWbGFvbzItZzNNVmpwNEo1VHlUdGxvNEVmQ1JqamEzMDI3QUlydm4wX2c?oc=5" TargetMode="External"/><Relationship Id="rId30" Type="http://schemas.openxmlformats.org/officeDocument/2006/relationships/hyperlink" Target="https://news.google.com/rss/articles/CBMiuAFBVV95cUxOZ3g3a3hMZGZOaE11V2ltXzhPemQ1Vmc4WG5EZVRwZ09jTDdRckJxaDQwb3Fidzk2ODRLdWY0dVRMMmdNdE9nYUxCVmVaYkdNeFMzZDAyV2hUM1JhYk9OUWtYUWFJVXExc19JMXVxVmtiRjJ6SG5DUUtYb1h2LV9LM0E3YW1nVURmVFVobFdfZTlibTFfT2hBRVdnUm9ack5wZ0hBT3htOHRVeVI2NUlhbVdvaXVISzNq?oc=5" TargetMode="External"/><Relationship Id="rId31" Type="http://schemas.openxmlformats.org/officeDocument/2006/relationships/hyperlink" Target="https://news.google.com/rss/articles/CBMi0wFBVV95cUxOVUpWdjk5LS1fTWU0ZEx4LU1mdHdtTnZ1MFd2bnF0X0RMS0tZR2V4aldCNmdhd2VBQkVURW5HTDFCUmk2XzdTWVVuMnFzbjQtcWF6dllqX3FDQWtCT0xBSDZVSEtaOVFqTy02emNhaV9USEljelEwU2Z5UTdwYjlqSmpkWl8yNFVVdk9pTS05dW5iUVNZWDQ2RzZQV2JPM2tQNTMtbk00TmFXaEMyVVBsdUFwdF9QX2dvWWVsR2FzTDh6UzVyZnd1QnNwV0EzZnZlUlB3?oc=5" TargetMode="External"/><Relationship Id="rId32" Type="http://schemas.openxmlformats.org/officeDocument/2006/relationships/hyperlink" Target="https://news.google.com/rss/articles/CBMi3AFBVV95cUxObGlkUkxJYndzbG4zVDhnazh0Z0NFb3hOMDZEc21wQ21Ca3BMMl9NbUYtei1vdnB0cTRnNGVTTG1ZdXlXaF9UaG1zOU1NRVBxNFBFR3ZOeVpjUF9yTjk2WE14enFVQTFod0d4VW15NlFGZ2FNMUEwT3UtVFNsRkRsQktrcWtsNUo1X1RFaE03eGhjc2JZcm8zNTNZRmFJZ1ZGMHYxRWE5NGMzTWFWOFo3VjhkQ3dhMWZscXZ5T2Jla1FOX3k2d3FSdkJURzJVdWE2eVlDRmtKeDlPVVB6?oc=5" TargetMode="External"/><Relationship Id="rId33" Type="http://schemas.openxmlformats.org/officeDocument/2006/relationships/hyperlink" Target="https://news.google.com/rss/articles/CBMi-AFBVV95cUxQbUR1VWxNMVpOb1VvOHI4M1VoYk1rTWxRVUtKeDRWVHhwNUlfcjdPSmszWGtfUk5sV3NiOVlTeXpETU4yNzZYazBCTWVUOU9IZEZEMHJQX3QwbTdPZmJjeklRdlpVclhwcTRJRlVJamdqTF84VGQtQkJwODZpdEtjU0RwVGZBaExseUlya2dORWhjZ00zajB5UXU1ZE9fSzRZVklkcllrVzBKWDhxSlRLMTFUVmg1Tm5wclFoOU9jMmZ3ZHBMMVVoTHJBbjBvVk5BZEd4aVl0WXcwUGoyZGJlcDZ6Qk0xNjBXZVlmM01MdDFXY3FEWG83Rg?oc=5" TargetMode="External"/><Relationship Id="rId34" Type="http://schemas.openxmlformats.org/officeDocument/2006/relationships/hyperlink" Target="https://news.google.com/rss/articles/CBMivAFBVV95cUxPVWgwV3NiY0hvNzJpTm5lU3d6UUtPZElqeUtFbldJUWxLc1MzMXp6Y2J4M2JrakVLOUM3QzhhMDVmakpfLXB5Rk1LdVBGV19Db2tPWV9XeUpSVkJacWw4UG1TLTBTZmg5dHNqMWFWOTluZVRvM25Ddkhjd3I1d0ppMkFVRWNid1RneGhwWnBGVlhicDJQNFJnWUltMjJjeTZpeVUzRk9KVE5BYnZRMFVMM2UwSVVhNWR3N1hvdA?oc=5" TargetMode="External"/><Relationship Id="rId35" Type="http://schemas.openxmlformats.org/officeDocument/2006/relationships/hyperlink" Target="https://news.google.com/rss/articles/CBMilgFBVV95cUxNcDhtOG9KOFhBVkFzeDFWTFBhZzdvTlJhMFhhWkFTVThxaEtndHRwYnlKZ1JNdGF2RWNOZkhvUXI0T0UtbDlEWVlyaVZmVmN1cGFYd2hTcmpCQ2NyX3FQb1ctMlBjUHlscDk1S1dzMlpsSk5IeXlVTWFVSTNOUWlLRzQ4cDhueWhXbV9xWWVrQlV4V2FWRHc?oc=5" TargetMode="External"/><Relationship Id="rId36" Type="http://schemas.openxmlformats.org/officeDocument/2006/relationships/hyperlink" Target="https://news.google.com/rss/articles/CBMirgFBVV95cUxPejJ6OE9Hd0MxYVdCeGpteExxeUxvNndFc2dNekhtUkRyTEdiR2RuLWxlU09MLUppTzNuZ2VFTEpGUVZkUjY0MGx5UWR5UTYxZkxhYnJ0ODA5cUtfaXdfek93YzJKa3FlZ2ljZWtzVVJlUzQyMGlFd0Q3MS1BU05mUVpRLW1EblFsYnJRQl9IVkY0VjBIZVE5N1ZuY0h3ZkpBSHFQeXl0ZG1DRXFlc2c?oc=5" TargetMode="External"/><Relationship Id="rId37" Type="http://schemas.openxmlformats.org/officeDocument/2006/relationships/hyperlink" Target="https://sanctionssearch.ofac.treas.gov/" TargetMode="External"/><Relationship Id="rId38" Type="http://schemas.openxmlformats.org/officeDocument/2006/relationships/hyperlink" Target="https://www.sanctionsmap.eu/#/main" TargetMode="External"/><Relationship Id="rId39" Type="http://schemas.openxmlformats.org/officeDocument/2006/relationships/hyperlink" Target="https://res30f.cooppank.ee/image/upload/investor_lehed/uldkoosolekud/teated/eng/26/Coop_Pank_annual_report_consolidated_2025_eng.pdf#page=36" TargetMode="External"/><Relationship Id="rId40" Type="http://schemas.openxmlformats.org/officeDocument/2006/relationships/hyperlink" Target="https://sebgroup.com/sustainability/our-sustainability-strategy/poli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