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 finance, point-of-sale and car financing in the Baltics, Poland, Czechia; deposits in EU)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5.5%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8.3m (+2%), ROE 9.6%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Capital is above requirements: CET1 13.15% (requirement 9.85%), total capital 18.38% (14.66%)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18.38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Stable profit:</w:t>
      </w:r>
      <w:r>
        <w:rPr>
          <w:b w:val="0"/>
        </w:rPr>
        <w:t xml:space="preserve"> 1H net profit EUR 8.3m (8.1m), Q2 EUR 4.3m (3.6m); ROE 9.6%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with headroom:</w:t>
      </w:r>
      <w:r>
        <w:rPr>
          <w:b w:val="0"/>
        </w:rPr>
        <w:t xml:space="preserve"> CET1 13.15%, total capital 18.38%, leverage ratio 10.83%; a new EUR 8.34m AT1 (8.25%) was issued in June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 liquidity:</w:t>
      </w:r>
      <w:r>
        <w:rPr>
          <w:b w:val="0"/>
        </w:rPr>
        <w:t xml:space="preserve"> LCR 1,161%, NSFR 133%; deposits EUR 1,320m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direction:</w:t>
      </w:r>
      <w:r>
        <w:rPr>
          <w:b w:val="0"/>
        </w:rPr>
        <w:t xml:space="preserve"> a 50/50 embedded-finance joint venture with Eurobank in Greece (licensing under way, launch expected Q1 2027)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1,155.1*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1,171.4*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1,233.4*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13.03%*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13.15%*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17.31%*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18.38%*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10.83%*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135.74%*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133.03%*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 and rental portfolio EUR 1.32bn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Cost of risk 1.54%, normal for a consumer finance bank and, per management, within the target range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Q2 EUR 28.4m (−23%); EUR 146m in 2025 (+65%)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Share of private loans &gt;90 days past due 2.4% (own calculation)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net profit EUR 19.2m, ROE 12.3%, cost/income 54.4%, cost of risk 1.59%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0.40 per share (EUR 4.8m)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Expansion into Greece through a joint venture with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Agreed July 2026; licensing under way, launch Q1 2027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Keep impairments within the target range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Q2 cost of risk 1.54%, within the target range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5.5% subordinated bond due 2031-12-15 (EUR 15m) and a 7.5% perpetual AT1 (EUR 4.5m). Inbank may defer or cancel AT1 coupons at its discretion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2031-12-28 date in the owner's list for the AT1 is not supported by the report: it is perpetual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buffer:</w:t>
      </w:r>
      <w:r>
        <w:rPr>
          <w:b w:val="0"/>
        </w:rPr>
        <w:t xml:space="preserve"> total capital 18.38% versus a 14.66% requirement; CET1 13.15% (9.85%)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No credit rating.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stable profit, capital and liquidity with headroom. For subordinated instruments the key is the capital buffer above requirements.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Pressure on margins:</w:t>
      </w:r>
      <w:r>
        <w:rPr>
          <w:b w:val="0"/>
        </w:rPr>
        <w:t xml:space="preserve"> portfolio yield 10.55% (11.24% a year ago) due to repricing of floating-rate loans and early repayments in Poland; funding cost fell to 3.64% (4.06%)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Record volumes:</w:t>
      </w:r>
      <w:r>
        <w:rPr>
          <w:b w:val="0"/>
        </w:rPr>
        <w:t xml:space="preserve"> originations EUR 221m (+13%), net income EUR 22.0m (+6%); impairments 1.54%, within target as macro conditions remain stable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signs of improving margins; the Greek joint venture with Eurobank is expected to launch in Q1 2027, subject to approvals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on 2026-09-28 Inbank published a notice of early redemption of bonds (with record and redemption dates); the headline does not name the issue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Poland:</w:t>
      </w:r>
      <w:r>
        <w:rPr>
          <w:b w:val="0"/>
        </w:rPr>
        <w:t xml:space="preserve"> on 2026-09-30 Inbank published its position on a decision of the Polish consumer protection authority (UOKiK)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2026-07-27 – 2026-10-25: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Inbank sai Poolas miljon eurot trahvi</w:t>
              </w:r>
            </w:hyperlink>
            <w:r>
              <w:rPr>
                <w:b w:val="0"/>
                <w:color w:val="667085"/>
                <w:sz w:val="15"/>
              </w:rPr>
              <w:t xml:space="preserve">   Ärileht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Inbank pikendas juhatuse liikme Margus Kasteini volitusi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Consumer and purchase financing and car leasing: 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precepts: in 2023 to Inbank AS to remedy governance, compliance and risk management deficiencies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October 2025 to Inbank Finance to fix consumer creditworthiness rules by mid-December 2025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 imposed.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apart from the supervisory precepts above and Inbank's 2026-09-30 statement on a decision of the Polish consumer protection authority (UOKiK)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2026-07-27 – 2026-10-25: 4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„Inbank sai Poolas miljon eurot trahvi“ (Ärileht,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(solar, EVs and similar) EUR 146m in 2025, +65%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products contribute to the Paris goals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separate net-zero target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significant yellow flags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Supervisory precepts without fines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sectors, growing green financing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 and financed emissions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 with a capital buffer.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146m in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EUR 28.4m in Q2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growing; there were supervisory precepts on governance and credit assessment (no fines).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news.google.com/rss/articles/CBMiiAFBVV95cUxQTWFSNC1zdmNWMDQtRmdKajJNX1VyaGgzczRzMXVPLUVRYjVWZnpBSm12RGJjdFhxdFp4Ynk3aFlra3BBT1JWUzFPUkVGVmxNR1ZRYnNHZHBVenl2UUcwM19Ba2JXSDhLbDllaXhiSXByc1hma1pSWl9hMHNCWmxVcXlaTVV6Wlp5?oc=5" TargetMode="External"/><Relationship Id="rId28" Type="http://schemas.openxmlformats.org/officeDocument/2006/relationships/hyperlink" Target="https://news.google.com/rss/articles/CBMixwFBVV95cUxQTnY4ZEYwU3ZzajhwOGdRLUwxT21kbVVtVTd2SzdEaEFROE5HM29NYXkwVlZjYUpDY25IS0tzTEduVFd2Q2JSSFJMalYxVDlMU2p5b09TQ054RnNBMVlwSXY2cGFoaVhyR3haODlsdWZRUDdEN182Wmtyb1NXNUlHcnI2NVk4bXdSY01uX05abE5RMU9zZHNpWHpvSTh6ZmFLZlVoeEdmNmZVRkFaRFF2YUVzX0lvQ2h6NFZQbmExMUpVTEg4cDNz?oc=5" TargetMode="External"/><Relationship Id="rId29" Type="http://schemas.openxmlformats.org/officeDocument/2006/relationships/hyperlink" Target="https://fi.ee/en/news/finantsinspektsioon-issued-precept-inbank" TargetMode="External"/><Relationship Id="rId30" Type="http://schemas.openxmlformats.org/officeDocument/2006/relationships/hyperlink" Target="https://fi.ee/en/news/finantsinspektsioon-issued-precept-inbank-finance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