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4,952 %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2,42 %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0,5 %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3,612 %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– mūsų skaičiavimas)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(mūsų skaičiavimas);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Šaltis kėlė pardavimus:</w:t>
      </w:r>
      <w:r>
        <w:rPr>
          <w:b w:val="0"/>
        </w:rPr>
        <w:t xml:space="preserve"> pajamos +11 % iki 941,8 mln. EUR dėl didesnių dujų, elektros ir šilumos pardavimų šaltą metų pradžią; EBITDA +5 % iki 284,6 mln. EUR – nauji saulės ir vėjo parkai, didesnė termofikacinių elektrinių gamyba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kainos:</w:t>
      </w:r>
      <w:r>
        <w:rPr>
          <w:b w:val="0"/>
        </w:rPr>
        <w:t xml:space="preserve"> Latvijoje vidutinė kaina 102,6 EUR/MWh (prieš metus 87,3); Šiaurės šalių sistemos kaina daugiau nei padvigubėjo dėl šalčio, didesnės paklausos ir mažesnių hidroresursų (22 TWh žemiau ilgalaikio vidurkio)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ir dujos:</w:t>
      </w:r>
      <w:r>
        <w:rPr>
          <w:b w:val="0"/>
        </w:rPr>
        <w:t xml:space="preserve"> Daugavos HE gamyba –4 % iki 1,6 TWh, nes upės prietaka 24 % mažesnė už ilgalaikį vidurkį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dujų TTF kaina vidutiniškai 40 EUR/MWh (–7 %), ES saugyklų užpildymas 38 % (prieš metus 46 %)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nauji vėjo ir saulės parkai bus paleidžiami 2026–2027 m.; juos užbaigus metinė gamyba padidės apie 2,2 TWh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2026-07-27 – 2026-10-25: 8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8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0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3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2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3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4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0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1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2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3" Type="http://schemas.openxmlformats.org/officeDocument/2006/relationships/hyperlink" Target="https://webapp.sebgroup.com/mb/mblib.nsf/dld/80AF6A2E5F88CDC2C12586B1002E33C2?opendocument" TargetMode="External"/><Relationship Id="rId44" Type="http://schemas.openxmlformats.org/officeDocument/2006/relationships/hyperlink" Target="https://nasdaqbaltic.com/market/upload/reports/elek/2025_ar_en_con.pdf#page=29" TargetMode="External"/><Relationship Id="rId45" Type="http://schemas.openxmlformats.org/officeDocument/2006/relationships/hyperlink" Target="https://jauns.lv/raksts/zinas/407457-starp-latvenergo-koncerna-iepirkumu-uzvaretajiem-atrodami-vairaki-martinsona-motokluba-ziedotaji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nasdaqbaltic.com/market/upload/reports/elek/2025_ar_en_con.pdf#page=31" TargetMode="External"/><Relationship Id="rId49" Type="http://schemas.openxmlformats.org/officeDocument/2006/relationships/hyperlink" Target="https://nasdaqbaltic.com/market/upload/reports/elek/2025_ar_en_con.pdf#page=26" TargetMode="External"/><Relationship Id="rId50" Type="http://schemas.openxmlformats.org/officeDocument/2006/relationships/hyperlink" Target="https://nasdaqbaltic.com/market/upload/reports/elek/2025_ar_en_con.pdf#page=28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nasdaqbaltic.com/market/upload/reports/elek/2025_ar_en_con.pdf#page=10" TargetMode="External"/><Relationship Id="rId53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