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2026-07-27 – 2026-10-25: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Socialinė nauda – šalies saugumas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finansuoja Lietuvos gynybos ir saugumo pramonę, pvz., amunicijos gamyklą Baisogaloje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Investuodami prisidedame prie šalies saugumo – tai priskiriame ESG „S“ (socialinei) daliai.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Pati VIK nurodo, kad tvarumas nėra jos pagrindinis tikslas, o prioritetas – gynyba ir saugumas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