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Artea bankas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- 2026-10-28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OK, but profit is falling.</w:t>
            </w:r>
            <w:r>
              <w:rPr>
                <w:b w:val="0"/>
                <w:color w:val="1A1A1A"/>
                <w:sz w:val="21"/>
              </w:rPr>
              <w:t xml:space="preserve"> 1H profit EUR 23.2m versus 31.9m a year ago; ROE 7.8%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Capital (21.5%) and liquidity (LCR 179%) have headroom, and Moody's upgraded the rating in April 2026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23.2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27.3 %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7.8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3.3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Total capital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21.5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LCR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179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Lower profit:</w:t>
      </w:r>
      <w:r>
        <w:rPr>
          <w:b w:val="0"/>
        </w:rPr>
        <w:t xml:space="preserve"> 1H net profit EUR 23.2m (31.9m a year ago), ROE 7.8% (11.1%). Net interest income rose 6% to EUR 72.5m, but costs grew faster: cost/income 56.8%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Good loan quality:</w:t>
      </w:r>
      <w:r>
        <w:rPr>
          <w:b w:val="0"/>
        </w:rPr>
        <w:t xml:space="preserve"> cost of risk 0.01% (0.24%), stage 3 loans 2.4% (calculated by the tool)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on 2026-04-21 Moody's raised the deposit rating to A3; senior unsecured debt Baa1, outlook positive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Shareholders and management changing:</w:t>
      </w:r>
      <w:r>
        <w:rPr>
          <w:b w:val="0"/>
        </w:rPr>
        <w:t xml:space="preserve"> Tesonet Global plans to raise its stake to 31.68% and seek control (ECB approval, by Q1 2027); Tomas Varenbergas appointed acting CEO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4.853%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4.597%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3.739%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24.38%*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23.59%*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grew 8% year on year to over EUR 3.9bn; deposits EUR 4,061m (+15%)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margin 2.4% (2.9% a year ago), falling with lower interest rates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core banking system replacement is under way; in 2025 the bank rebranded as Artea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60.7m (2024:</w:t>
      </w:r>
      <w:r>
        <w:rPr>
          <w:b w:val="0"/>
        </w:rPr>
        <w:t xml:space="preserve"> 78.8m), ROE 10.4% (14.0%); net interest income EUR 138.3m (−14%)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capital ratio 21.5% (YE2025 21.15%), MREL 23.59% of TREA, LCR 179%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0.047 per share (EUR 30.4m), for 2024 EUR 0.061; a share buyback (EUR 2.6m) was completed in January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2026-2028: become the best bank in Lithuania by 2029; long-term ROE &gt;17%, total shareholder return &gt;20%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7.8%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Still far from the target: the margin is falling and costs are up (core system change, rebranding)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at least 50% of prior-year profit; for 2025 up to 70% proposed (50% dividends, up to 20% buybacks)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52.2% of 2025 profit paid as dividends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2026: about 15% corporate loan portfolio growth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loans +8% year on year (1H)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corporate loan growth is not shown separately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three EUR 300m senior preferred bonds, 4.85% due 2028-12-05, 3.74% due 2029-07-10 and 4.60% due 2030-06-25; a 10.75% subordinated bond due 2033 (EUR 50m); and an 8.75% AT1 (EUR 50m, date in the issuer table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senior debt Baa1 with a positive outlook, which is good news for all bonds held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 and AT1:</w:t>
      </w:r>
      <w:r>
        <w:rPr>
          <w:b w:val="0"/>
        </w:rPr>
        <w:t xml:space="preserve"> total capital of 21.5% and MREL of 23.59% have headroom; no new bonds were issued in 1H 2026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Change of control:</w:t>
      </w:r>
      <w:r>
        <w:rPr>
          <w:b w:val="0"/>
        </w:rPr>
        <w:t xml:space="preserve"> if Tesonet gains control (ECB approval needed), the strategic owner changes; change-of-control terms of the bonds were not found in public sources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declining, but capital, liquidity and loan quality are good and the rating has improved. 9M results are due on 2026-10-28.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LT), 2026-07-24 – 2026-10-22: 5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A1A1A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5F6B7A"/>
                <w:sz w:val="15"/>
              </w:rPr>
              <w:t xml:space="preserve">   Delfi  ·  4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responsible investment regulation is published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were imposed on the bank or group companies in 2025 or Q2 2026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Lithuanian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Tesonet's share purchases and management changes.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5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Expanding sustainable financing is a 2026 priority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planned Artea Retrofit Fund 3 (EUR 625m) for building renovation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Committed, together with the EU, to climate neutrality by 2050 in line with the Paris Agreement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procedures, whistleblowing channel, supplier code of conduct, responsible investment regulation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imposed on the bank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and interim climate targets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 and loan quality are good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make up 77.8% of group staff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Included in the Bloomberg ESG Data and ESG Coverage indices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Core ESG procedures are in place; little climate data is disclosed.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Artea bankas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Artea bankas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Artea bankas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ebgroup.com/sustainability/our-sustainability-strategy/policies" TargetMode="External"/><Relationship Id="rId34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