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Citadele banka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6"/>
                </w:rPr>
                <w:t xml:space="preserve">3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39,8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13,7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17,8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21,6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(apskaičiuota įrankio)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(apskaičiuota įrankio)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EE, LT, LV), 2026-07-24 – 2026-10-22: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A1A1A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5F6B7A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5F6B7A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A1A1A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5F6B7A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A1A1A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A1A1A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5F6B7A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A1A1A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5F6B7A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A1A1A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5F6B7A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A1A1A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A1A1A"/>
                  <w:sz w:val="18"/>
                </w:rPr>
                <w:t xml:space="preserve">Citadele ievieš platformu uzņēmumiem administratīvā sloga mazināšanai</w:t>
              </w:r>
            </w:hyperlink>
            <w:r>
              <w:rPr>
                <w:b w:val="0"/>
                <w:color w:val="5F6B7A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9">
              <w:r>
                <w:rPr>
                  <w:color w:val="1A1A1A"/>
                  <w:sz w:val="18"/>
                </w:rPr>
                <w:t xml:space="preserve">Citadele 50 miljoni emissioon märgiti 1,35 korda üle</w:t>
              </w:r>
            </w:hyperlink>
            <w:r>
              <w:rPr>
                <w:b w:val="0"/>
                <w:color w:val="5F6B7A"/>
                <w:sz w:val="15"/>
              </w:rPr>
              <w:t xml:space="preserve">   quasa.io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Citadele banka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Citadele banka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Citadele banka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3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4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5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6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7" Type="http://schemas.openxmlformats.org/officeDocument/2006/relationships/hyperlink" Target="https://news.google.com/rss/articles/CBMilgFBVV95cUxNaXd5Qi0wUGtKbUlvSUtDY0RkdXRyTDN0Y3kxTmtxMTQ1cm9ZdDdwTUZJWGk1Z043M0pYLUFmWHZtb2FnRDZERkIwbHFqczJwaVZhem1DVTVFQUh4b2hXSVFtaUpPVEtPLVpReDRPSUVuVGUwRDU4bjctRkRkMWxxaU1CenQ2cFdYdDVIUXZMazdCd3JQR3c?oc=5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