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Latvenergo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144,6 mln. EUR (+7 %), reitingas Baa2 stabilus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Skola auga dėl didelių investicijų į atsinaujinančią energetiką: grynoji skola / EBITDA 2,4x (prieš metus 1,5x), tačiau FFO / grynoji skola 35 % vis dar viršija strategijos tikslą (&gt;25 %)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284,6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144,6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6,9 %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2,4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FFO / 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pajamos 941,8 mln. EUR (+11 %), EBITDA 284,6 mln. EUR (+5 %), grynasis pelnas 144,6 mln. EUR (135,3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gamybos:</w:t>
      </w:r>
      <w:r>
        <w:rPr>
          <w:b w:val="0"/>
        </w:rPr>
        <w:t xml:space="preserve"> pagaminta 3 336 GWh elektros, prieš metus 2 603 GWh. 2025 m. 66 % elektros pagaminta iš atsinaujinančių šaltinių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 dėl investicijų:</w:t>
      </w:r>
      <w:r>
        <w:rPr>
          <w:b w:val="0"/>
        </w:rPr>
        <w:t xml:space="preserve"> grynoji skola 1 372,1 mln. EUR (843,1 mln.), grynoji skola / EBITDA 2,4x (1,5x). Investicijos per pusmetį 255,5 mln. EUR, 2025 m. – rekordinės 792,1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pigus:</w:t>
      </w:r>
      <w:r>
        <w:rPr>
          <w:b w:val="0"/>
        </w:rPr>
        <w:t xml:space="preserve"> 2026 m. birželį išleista 300 mln. EUR 7 metų žaliųjų obligacijų, pajamingumas 1,3 %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4,952 %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1 372,1*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6,9 %*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2 969,5*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3 035,9*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4 967,5*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4 471,3*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5 259,6*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66,4 %ᶜ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28,2 %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Atsinaujinančios energetikos plėtra:</w:t>
      </w:r>
      <w:r>
        <w:rPr>
          <w:b w:val="0"/>
        </w:rPr>
        <w:t xml:space="preserve"> birželio pabaigoje įrengta 937 MW vėjo ir saulės jėgainių, patvirtintas 1 144 MW projektų portfelis; strategijos tikslas – 600 MW iki 2026 m., 2 300 MW iki 2030 m.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Gamybos struktūra 2025 m.:</w:t>
      </w:r>
      <w:r>
        <w:rPr>
          <w:b w:val="0"/>
        </w:rPr>
        <w:t xml:space="preserve"> hidroelektrinės 2 882 GWh (61 %), dujomis kūrenamos Rygos termofikacinės elektrinės 1 587 GWh (34 %), vėjo ir saulės jėgainės 209 GWh (dalys apskaičiuotos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2026-08-22 stipri audra sukėlė plačius elektros tiekimo sutrikimus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1 566,1 mln. EUR (2024 m. – 1 703,6 mln.), pelnas 198,8 mln. EUR (273,7 mln., −74,8 mln.); FFO / grynoji skola 39 %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3 035,9 mln. EUR, turtas 5 259,6 mln. EUR – nuosavo kapitalo dalis 57,7 % (apskaičiuota įrankio); ROE 6,9 % (5,2 %)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valstybei:</w:t>
      </w:r>
      <w:r>
        <w:rPr>
          <w:b w:val="0"/>
        </w:rPr>
        <w:t xml:space="preserve"> 2026-05-27 patvirtinta 141,0 mln. EUR iš 2025 m. pelno, dviem dalimis po 70,5 mln. EUR (birželį ir iki lapkričio 30 d.)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&gt;7 %, koreguotas FFO / grynoji skola &gt;25 %, Moody's reitingas ≥ Baa3, dividendai &gt;64 % pelno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6,9 %, FFO / grynoji skola 35 %, reitingas Baa2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 dalies: reitingo ir FFO tikslai vykdomi; ROE (6,9 %) arti 7 % tikslo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Pastatyti ar įsigyti 600 MW vėjo ir saulės jėgainių iki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2026-06-30 – 937 MW įrengta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su perviršiu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2 300 MW atsinaujinančių šaltinių iki 2030 m.; bent 250 MW / 500 MWh kaupimo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Patvirtintas 1 144 MW projektų portfelis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tikslas, finansuojamas žaliosiomis obligacijomis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Klimato neutrali elektros gamyba iki 2040 m.; 1 apimties emisijas sumažinti 47 % iki 2030 m.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−17 %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pažanga priklauso nuo dujinių elektrinių darbo valandų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keturios žaliosios obligacijos – 2,42 % 2027 (100 mln. EUR), 0,5 % 2028 (50 mln. EUR), 4,952 % 2029 (50 mln. EUR) ir 3,612 % 2030 (400 mln. EUR)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žaliosioms obligacijoms suteikė Baa2 reitingą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Artimiausias išpirkimas:</w:t>
      </w:r>
      <w:r>
        <w:rPr>
          <w:b w:val="0"/>
        </w:rPr>
        <w:t xml:space="preserve"> 2,42 % obligacija – 2027-05-05. Bendrovė pinigų turi: 2026 m. birželį pasiskolinta 300 mln. EUR už 1,3 %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nuosavybė (100 %)</w:t>
      </w:r>
      <w:r>
        <w:rPr>
          <w:b w:val="0"/>
        </w:rPr>
        <w:t xml:space="preserve"> ir dividendų politika (&gt;64 % pelno) reiškia, kad dalis pinigų išeina valstybei, tačiau reitingo tikslas (≥ Baa3) apriboja skolinimąsi</w:t>
      </w:r>
      <w:hyperlink r:id="rId15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pelningas, skolinimasis didėja pagal planą, kredito rodikliai – virš strategijos ribų.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2026-10-05 valdybos narys Māris Kuņickis palieka bendrovę</w:t>
      </w:r>
      <w:hyperlink r:id="rId31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ir LMT:</w:t>
      </w:r>
      <w:r>
        <w:rPr>
          <w:b w:val="0"/>
        </w:rPr>
        <w:t xml:space="preserve"> 2026-10-22 rašyta, kad Latvenergo pasirengusi tęsti bendradarbiavimą Tet ir LMT dalių išpirkimo procese</w:t>
      </w:r>
      <w:hyperlink r:id="rId32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Dujų kainos:</w:t>
      </w:r>
      <w:r>
        <w:rPr>
          <w:b w:val="0"/>
        </w:rPr>
        <w:t xml:space="preserve"> 2026-10-14 bendrovės analitikė įspėjo, kad gamtinės dujos tokios brangios nebuvo keletą metų</w:t>
      </w:r>
      <w:hyperlink r:id="rId33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ir naftos gavybos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Dvi Rygos termofikacinės elektrinės kūrenamos gamtinėmis dujomis (2025 m. – 34 % gamybos)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iškastinio kuro politika riboja anglį ir naftos bei dujų gavybą, ne dujinę gamybą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ar etikos pažeidimų su reikšmingu poveikiu 2024–2025 m. – 0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2020 m. pirkimų istorijoje KNAB baudžiamąją bylą nutraukė, pažeidimų nenustatyta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latvių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66 % elektros – iš atsinaujinančių šaltinių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– 54 balai, tarp 30 % geriausių pasaulio elektros įmonių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poveikio balas CIS-2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obligacijos – žaliosios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m., neutrali elektros gamyba iki 2040 m.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ES taksonomija suderintos investicijos – 97 % (tikslas ≥80 %)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nelaimingų atsitikimų ir didelių taršos atvejų 2024–2025 m. –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ir iškastinio kuro politika dėl dujinių elektrinių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Emisijų mažinimo tikslai (2030 ir 2040 m.)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m. visų apimčių emisijos nepriklausomai patikrintos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energijos valdymas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atvejų – 0, sukčiavimo rizikos valdymo planas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nėra.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Absoliučios 1–3 apimties emisijos ataskaitos tekste nerastos.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aiški perėjimo prie atsinaujinančios energetikos strategija ir tvarkinga ESG praktika.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gamybos emisijų intensyvumas 0,100 t CO2/MWh 2025 m. (tikslas 0,06 iki 2030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−17 % nuo 2021 m.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97 %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Atsinaujinančių šaltinių dalis 66 %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Daugiausia hidroenergija, sparčiai auga vėjo ir saulės gamyba, aiškūs klimato tikslai; dujinės elektrinės lieka rezervu.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5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9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40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38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37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44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38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Latvenergo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Latvenergo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hyperlink" Target="https://nasdaqbaltic.com/market/upload/reports/elek/2026_q2_en_con.pdf#page=7" TargetMode="External"/><Relationship Id="rId16" Type="http://schemas.openxmlformats.org/officeDocument/2006/relationships/hyperlink" Target="https://nasdaqbaltic.com/market/upload/reports/elek/2025_ar_en_con.pdf#page=9" TargetMode="External"/><Relationship Id="rId17" Type="http://schemas.openxmlformats.org/officeDocument/2006/relationships/hyperlink" Target="https://nasdaqbaltic.com/market/upload/reports/elek/2025_ar_en_con.pdf#page=8" TargetMode="External"/><Relationship Id="rId18" Type="http://schemas.openxmlformats.org/officeDocument/2006/relationships/hyperlink" Target="https://nasdaqbaltic.com/market/upload/reports/elek/2026_q2_en_con.pdf#page=5" TargetMode="External"/><Relationship Id="rId19" Type="http://schemas.openxmlformats.org/officeDocument/2006/relationships/hyperlink" Target="https://nasdaqbaltic.com/market/upload/reports/elek/2026_q2_en_con.pdf#page=15" TargetMode="External"/><Relationship Id="rId20" Type="http://schemas.openxmlformats.org/officeDocument/2006/relationships/hyperlink" Target="https://nasdaqbaltic.com/market/upload/reports/elek/2025_ar_en_con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elek/2026_q2_en_con.pdf#page=3" TargetMode="External"/><Relationship Id="rId23" Type="http://schemas.openxmlformats.org/officeDocument/2006/relationships/hyperlink" Target="https://nasdaqbaltic.com/market/upload/reports/elek/2026_q2_en_con.pdf#page=14" TargetMode="External"/><Relationship Id="rId24" Type="http://schemas.openxmlformats.org/officeDocument/2006/relationships/hyperlink" Target="https://nasdaqbaltic.com/market/upload/reports/elek/2026_q2_en_con.pdf#page=8" TargetMode="External"/><Relationship Id="rId25" Type="http://schemas.openxmlformats.org/officeDocument/2006/relationships/hyperlink" Target="https://nasdaqbaltic.com/market/upload/reports/elek/2025_ar_en_con.pdf#page=27" TargetMode="External"/><Relationship Id="rId26" Type="http://schemas.openxmlformats.org/officeDocument/2006/relationships/hyperlink" Target="https://nasdaqbaltic.com/statistics/en/instrument/LV0000802684/security?date=2026-10-22" TargetMode="External"/><Relationship Id="rId27" Type="http://schemas.openxmlformats.org/officeDocument/2006/relationships/hyperlink" Target="https://nasdaqbaltic.com/statistics/en/instrument/LV0000870129/security?date=2026-10-22" TargetMode="External"/><Relationship Id="rId28" Type="http://schemas.openxmlformats.org/officeDocument/2006/relationships/hyperlink" Target="https://nasdaqbaltic.com/statistics/en/instrument/LV0000802460/security?date=2026-10-22" TargetMode="External"/><Relationship Id="rId29" Type="http://schemas.openxmlformats.org/officeDocument/2006/relationships/hyperlink" Target="https://nasdaqbaltic.com/statistics/en/instrument/XS3227294132/security?date=2026-10-22" TargetMode="External"/><Relationship Id="rId30" Type="http://schemas.openxmlformats.org/officeDocument/2006/relationships/hyperlink" Target="https://nasdaqbaltic.com/market/upload/reports/elek/2025_ar_en_con.pdf" TargetMode="External"/><Relationship Id="rId31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2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3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4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5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36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37" Type="http://schemas.openxmlformats.org/officeDocument/2006/relationships/hyperlink" Target="https://webapp.sebgroup.com/mb/mblib.nsf/dld/80AF6A2E5F88CDC2C12586B1002E33C2?opendocument" TargetMode="External"/><Relationship Id="rId38" Type="http://schemas.openxmlformats.org/officeDocument/2006/relationships/hyperlink" Target="https://nasdaqbaltic.com/market/upload/reports/elek/2025_ar_en_con.pdf#page=29" TargetMode="External"/><Relationship Id="rId39" Type="http://schemas.openxmlformats.org/officeDocument/2006/relationships/hyperlink" Target="https://jauns.lv/raksts/zinas/407457-starp-latvenergo-koncerna-iepirkumu-uzvaretajiem-atrodami-vairaki-martinsona-motokluba-ziedotaji" TargetMode="External"/><Relationship Id="rId40" Type="http://schemas.openxmlformats.org/officeDocument/2006/relationships/hyperlink" Target="https://nasdaqbaltic.com/market/upload/reports/elek/2025_ar_en_con.pdf#page=31" TargetMode="External"/><Relationship Id="rId41" Type="http://schemas.openxmlformats.org/officeDocument/2006/relationships/hyperlink" Target="https://nasdaqbaltic.com/market/upload/reports/elek/2025_ar_en_con.pdf#page=26" TargetMode="External"/><Relationship Id="rId42" Type="http://schemas.openxmlformats.org/officeDocument/2006/relationships/hyperlink" Target="https://nasdaqbaltic.com/market/upload/reports/elek/2025_ar_en_con.pdf#page=28" TargetMode="External"/><Relationship Id="rId43" Type="http://schemas.openxmlformats.org/officeDocument/2006/relationships/hyperlink" Target="https://sebgroup.com/sustainability/our-sustainability-strategy/policies" TargetMode="External"/><Relationship Id="rId44" Type="http://schemas.openxmlformats.org/officeDocument/2006/relationships/hyperlink" Target="https://nasdaqbaltic.com/market/upload/reports/elek/2025_ar_en_con.pdf#page=10" TargetMode="External"/><Relationship Id="rId45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