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FY2025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Nortal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public credit rating found)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- Nortal reports are published only on its password-protected investor portal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Watch.</w:t>
            </w:r>
            <w:r>
              <w:rPr>
                <w:b w:val="0"/>
                <w:color w:val="1A1A1A"/>
                <w:sz w:val="21"/>
              </w:rPr>
              <w:t xml:space="preserve"> Nortal publishes its financial reports only on a password-protected investor portal, so the only public figures are 2025 revenue of EUR 254.2m (+15%) and EBITDA of EUR 23.8m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No public data on debt, leverage or covenants.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4720"/>
        <w:gridCol w:w="198"/>
        <w:gridCol w:w="4720"/>
      </w:tblGrid>
      <w:tr>
        <w:tc>
          <w:tcPr>
            <w:tcW w:type="dxa" w:w="4720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Revenue</w:t>
            </w:r>
            <w:r>
              <w:rPr>
                <w:b w:val="0"/>
                <w:color w:val="5F6B7A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254.2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  <w:tc>
          <w:tcPr>
            <w:tcW w:type="dxa" w:w="198"/>
          </w:tcPr>
          <w:p/>
        </w:tc>
        <w:tc>
          <w:tcPr>
            <w:tcW w:type="dxa" w:w="4720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FY2025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23.8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2025 revenue EUR 254.2m (+15%), EBITDA EUR 23.8m; the company says it invested heavily and went through significant changes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Acquisitions:</w:t>
      </w:r>
      <w:r>
        <w:rPr>
          <w:b w:val="0"/>
        </w:rPr>
        <w:t xml:space="preserve"> Nearsure (US, July 2025), Accela's Middle East division (October 2025), iSAX IoT consulting (Germany, July 2026)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Limited information:</w:t>
      </w:r>
      <w:r>
        <w:rPr>
          <w:b w:val="0"/>
        </w:rPr>
        <w:t xml:space="preserve"> interim reports, debt and covenant figures are not public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FI4000566567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Nortal senior secured FRN 2029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2029-02-09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secured floating rate, framework EUR 100m; margin not found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4475"/>
        <w:gridCol w:w="1807"/>
        <w:gridCol w:w="3356"/>
      </w:tblGrid>
      <w:tr>
        <w:tc>
          <w:tcPr>
            <w:tcW w:type="dxa" w:w="447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80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3356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254.2*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4475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80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23.8*</w:t>
            </w:r>
          </w:p>
        </w:tc>
        <w:tc>
          <w:tcPr>
            <w:tcW w:type="dxa" w:w="3356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5618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rtal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18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IT services and digital transformation company (public sector, healthcare, industry); 30 offices; ISO 9001 and ISO/IEC 27001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2025 Nortal became an approved NATO supplier; it targets 70% 'AI-first' delivery by end-2026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profit, net debt, equity and cash – not found (not public)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70% 'AI-first' delivery by end-2026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secured floating rate notes FI4000566567, maturing 2029-02-09. Publicly: a EUR 50m five-year senior secured FRN was issued on 2024-02-09 (framework up to EUR 100m), with quarterly interest, to refinance older bonds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The public sources do not give the ISIN; the date and tenor match.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the margin over Euribor, covenants and call terms were not found publicly.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growing, but credit risk cannot be assessed from public data.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No news about the issuer found in this period.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Provides IT services to defence (NATO supplier), not weapons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February 2024 Estonian parties criticised a possible conflict of interest over Nortal's role in the 'personal state' project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This was political criticism, not a fine or proceeding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UK Carbon Reduction Plan (2025) and a Modern Slavery Statement (2026) are published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carbon reduction plan for the UK unit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27001, a modern slavery statement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group sustainability report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services have a small environmental footprint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UK unit emission plan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Nortal - Investor relations (portal is password protected),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Nortal - Tivi: Nortal delivered strong results in 2025, 2026-08-04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Nortal - Acquisition of iSAX's IoT consulting business, 2026-07-02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Nortal - Nortal places EUR 50m bonds, 2024-01-26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Nortal - Nortal will redeem up to EUR 75m senior secured floating rate bonds,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ERR - Erakonnad ootavad Nortali osalemise kohta personaalses riigis selgitusi, 2024-02-15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Nortal · FY2025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Nortal · FY2025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Nortal</w:t>
    </w:r>
    <w:r>
      <w:rPr>
        <w:b w:val="0"/>
        <w:color w:val="5F6B7A"/>
        <w:sz w:val="16"/>
      </w:rPr>
      <w:tab/>
      <w:t>Issuer review · FY2025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s.nortal.com/" TargetMode="External"/><Relationship Id="rId13" Type="http://schemas.openxmlformats.org/officeDocument/2006/relationships/hyperlink" Target="https://nortal.com/news/news-library/tivi-nortal-delivered-strong-results-in-2025-a-shift-has-required-investments" TargetMode="External"/><Relationship Id="rId14" Type="http://schemas.openxmlformats.org/officeDocument/2006/relationships/hyperlink" Target="https://nortal.com/news/news-library/nortal-expands-industrial-iot-capabilities-through-acquisition-of-isaxs-consulting-business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ortal.com/news/news-library/nortal-places-eur-50m-bonds/" TargetMode="External"/><Relationship Id="rId17" Type="http://schemas.openxmlformats.org/officeDocument/2006/relationships/hyperlink" Target="https://nortal.com/news/news-library/nortal-will-redeem-up-to-eur-75m-in-senior-secured-floating-rate-bonds/" TargetMode="External"/><Relationship Id="rId18" Type="http://schemas.openxmlformats.org/officeDocument/2006/relationships/hyperlink" Target="https://www.err.ee/1609252896/erakonnad-ootavad-nortali-osalemise-kohta-personaalses-riigis-selgitusi" TargetMode="External"/><Relationship Id="rId19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