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60" w:type="dxa"/>
          <w:left w:w="280" w:type="dxa"/>
          <w:bottom w:w="260" w:type="dxa"/>
          <w:right w:w="280" w:type="dxa"/>
        </w:tblCellMar>
        <w:tblLook w:firstColumn="1" w:firstRow="1" w:lastColumn="0" w:lastRow="0" w:noHBand="0" w:noVBand="1" w:val="04A0"/>
      </w:tblPr>
      <w:tblGrid>
        <w:gridCol w:w="7030"/>
        <w:gridCol w:w="2608"/>
      </w:tblGrid>
      <w:tr>
        <w:tc>
          <w:tcPr>
            <w:tcW w:type="dxa" w:w="7030"/>
            <w:shd w:val="clear" w:color="auto" w:fill="1F4E79"/>
          </w:tcPr>
          <w:p>
            <w:pPr>
              <w:spacing w:before="0" w:after="0"/>
            </w:pPr>
            <w:r>
              <w:rPr>
                <w:b/>
                <w:caps/>
                <w:color w:val="AFC6DD"/>
                <w:sz w:val="17"/>
              </w:rPr>
              <w:t>Issuer review · 6M2026</w:t>
            </w:r>
          </w:p>
          <w:p>
            <w:pPr>
              <w:spacing w:before="40" w:after="0"/>
            </w:pPr>
            <w:r>
              <w:rPr>
                <w:b/>
                <w:color w:val="FFFFFF"/>
                <w:sz w:val="52"/>
              </w:rPr>
              <w:t>Port of Tallinn</w:t>
            </w:r>
          </w:p>
        </w:tc>
        <w:tc>
          <w:tcPr>
            <w:tcW w:type="dxa" w:w="2608"/>
            <w:shd w:val="clear" w:color="auto" w:fill="1F4E79"/>
          </w:tcPr>
          <w:p>
            <w:pPr>
              <w:spacing w:before="280" w:after="0"/>
              <w:jc w:val="right"/>
            </w:pPr>
            <w:r>
              <w:rPr>
                <w:b/>
                <w:color w:val="9A6400"/>
                <w:sz w:val="19"/>
                <w:shd w:val="clear" w:color="auto" w:fill="FDF1D8"/>
              </w:rPr>
              <w:t xml:space="preserve">  ●  WATCH  </w:t>
            </w:r>
          </w:p>
        </w:tc>
      </w:tr>
    </w:tbl>
    <w:p>
      <w:pPr>
        <w:pBdr>
          <w:top w:val="single" w:sz="12" w:color="2A78D6" w:space="0"/>
        </w:pBdr>
        <w:spacing w:before="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120" w:type="dxa"/>
          <w:right w:w="16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nil"/>
              <w:left w:val="nil"/>
              <w:bottom w:val="single" w:sz="4" w:color="C9D3DE" w:space="0"/>
              <w:right w:val="nil"/>
            </w:tcBorders>
          </w:tcPr>
          <w:p>
            <w:pPr>
              <w:spacing w:before="0" w:after="20"/>
            </w:pPr>
            <w:r>
              <w:rPr>
                <w:b/>
                <w:caps/>
                <w:color w:val="5F6B7A"/>
                <w:sz w:val="15"/>
              </w:rPr>
              <w:t>Analysis date</w:t>
            </w:r>
          </w:p>
          <w:p>
            <w:pPr>
              <w:spacing w:before="0" w:after="0"/>
            </w:pPr>
            <w:r>
              <w:rPr>
                <w:b w:val="0"/>
                <w:sz w:val="19"/>
              </w:rPr>
              <w:t>2026-10-22</w:t>
            </w:r>
          </w:p>
        </w:tc>
        <w:tc>
          <w:tcPr>
            <w:tcW w:type="dxa" w:w="3213"/>
            <w:tcBorders>
              <w:top w:val="nil"/>
              <w:left w:val="nil"/>
              <w:bottom w:val="single" w:sz="4" w:color="C9D3DE" w:space="0"/>
              <w:right w:val="nil"/>
            </w:tcBorders>
          </w:tcPr>
          <w:p>
            <w:pPr>
              <w:spacing w:before="0" w:after="20"/>
            </w:pPr>
            <w:r>
              <w:rPr>
                <w:b/>
                <w:caps/>
                <w:color w:val="5F6B7A"/>
                <w:sz w:val="15"/>
              </w:rPr>
              <w:t>Issuer rating</w:t>
            </w:r>
          </w:p>
          <w:p>
            <w:pPr>
              <w:spacing w:before="0" w:after="0"/>
            </w:pPr>
            <w:r>
              <w:rPr>
                <w:b w:val="0"/>
                <w:sz w:val="19"/>
              </w:rPr>
              <w:t>No public credit rating found</w:t>
            </w:r>
            <w:hyperlink r:id="rId12">
              <w:r>
                <w:rPr>
                  <w:color w:val="2A78D6"/>
                  <w:vertAlign w:val="superscript"/>
                  <w:sz w:val="16"/>
                </w:rPr>
                <w:t xml:space="preserve">1</w:t>
              </w:r>
            </w:hyperlink>
          </w:p>
        </w:tc>
        <w:tc>
          <w:tcPr>
            <w:tcW w:type="dxa" w:w="3213"/>
            <w:tcBorders>
              <w:top w:val="nil"/>
              <w:left w:val="nil"/>
              <w:bottom w:val="single" w:sz="4" w:color="C9D3DE" w:space="0"/>
              <w:right w:val="nil"/>
            </w:tcBorders>
          </w:tcPr>
          <w:p>
            <w:pPr>
              <w:spacing w:before="0" w:after="20"/>
            </w:pPr>
            <w:r>
              <w:rPr>
                <w:b/>
                <w:caps/>
                <w:color w:val="5F6B7A"/>
                <w:sz w:val="15"/>
              </w:rPr>
              <w:t>Next report</w:t>
            </w:r>
          </w:p>
          <w:p>
            <w:pPr>
              <w:spacing w:before="0" w:after="0"/>
            </w:pPr>
            <w:r>
              <w:rPr>
                <w:b w:val="0"/>
                <w:sz w:val="19"/>
              </w:rPr>
              <w:t>Q3 2026 results - expected November 2026</w:t>
            </w:r>
          </w:p>
        </w:tc>
      </w:tr>
    </w:tbl>
    <w:p>
      <w:pPr>
        <w:spacing w:before="0" w:after="8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80" w:type="dxa"/>
          <w:left w:w="260" w:type="dxa"/>
          <w:bottom w:w="200" w:type="dxa"/>
          <w:right w:w="26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single" w:sz="24" w:color="9A6400" w:space="0"/>
              <w:bottom w:val="nil"/>
              <w:right w:val="nil"/>
            </w:tcBorders>
            <w:shd w:val="clear" w:color="auto" w:fill="FDF1D8"/>
          </w:tcPr>
          <w:p>
            <w:pPr>
              <w:spacing w:before="0" w:after="0" w:line="276" w:lineRule="auto"/>
            </w:pPr>
            <w:r>
              <w:rPr>
                <w:b/>
                <w:color w:val="1A1A1A"/>
                <w:sz w:val="21"/>
              </w:rPr>
              <w:t>Worth watching.</w:t>
            </w:r>
            <w:r>
              <w:rPr>
                <w:b w:val="0"/>
                <w:color w:val="1A1A1A"/>
                <w:sz w:val="21"/>
              </w:rPr>
              <w:t xml:space="preserve"> The balance sheet is strong (net debt 2.78x EBITDA, equity 59.8% of assets)</w:t>
            </w:r>
            <w:hyperlink r:id="rId13">
              <w:r>
                <w:rPr>
                  <w:color w:val="2A78D6"/>
                  <w:vertAlign w:val="superscript"/>
                  <w:sz w:val="17"/>
                </w:rPr>
                <w:t xml:space="preserve">2</w:t>
              </w:r>
            </w:hyperlink>
            <w:r>
              <w:rPr>
                <w:b w:val="0"/>
                <w:color w:val="1A1A1A"/>
                <w:sz w:val="21"/>
              </w:rPr>
              <w:t>. But 6M 2026 net profit fell 41.7% on higher fuel and repair costs, so next year's dividend base may be smaller</w:t>
            </w:r>
            <w:hyperlink r:id="rId13">
              <w:r>
                <w:rPr>
                  <w:color w:val="2A78D6"/>
                  <w:vertAlign w:val="superscript"/>
                  <w:sz w:val="17"/>
                </w:rPr>
                <w:t xml:space="preserve">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7"/>
                </w:rPr>
                <w:t xml:space="preserve">4</w:t>
              </w:r>
            </w:hyperlink>
            <w:r>
              <w:rPr>
                <w:b w:val="0"/>
                <w:color w:val="1A1A1A"/>
                <w:sz w:val="21"/>
              </w:rPr>
              <w:t>.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50" w:type="dxa"/>
          <w:left w:w="170" w:type="dxa"/>
          <w:bottom w:w="150" w:type="dxa"/>
          <w:right w:w="100" w:type="dxa"/>
        </w:tblCellMar>
        <w:tblLook w:firstColumn="1" w:firstRow="1" w:lastColumn="0" w:lastRow="0" w:noHBand="0" w:noVBand="1" w:val="04A0"/>
      </w:tblPr>
      <w:tblGrid>
        <w:gridCol w:w="2260"/>
        <w:gridCol w:w="198"/>
        <w:gridCol w:w="2260"/>
        <w:gridCol w:w="198"/>
        <w:gridCol w:w="2260"/>
        <w:gridCol w:w="198"/>
        <w:gridCol w:w="2260"/>
      </w:tblGrid>
      <w:tr>
        <w:tc>
          <w:tcPr>
            <w:tcW w:type="dxa" w:w="2261"/>
            <w:tcBorders>
              <w:top w:val="single" w:sz="18" w:color="2A78D6" w:space="0"/>
              <w:left w:val="single" w:sz="4" w:color="C9D3DE" w:space="0"/>
              <w:bottom w:val="single" w:sz="4" w:color="C9D3DE" w:space="0"/>
              <w:right w:val="single" w:sz="4" w:color="C9D3DE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5F6B7A"/>
                <w:sz w:val="14"/>
              </w:rPr>
              <w:t>Revenue</w:t>
            </w:r>
            <w:r>
              <w:rPr>
                <w:b w:val="0"/>
                <w:color w:val="5F6B7A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F4E79"/>
                <w:sz w:val="34"/>
              </w:rPr>
              <w:t>59.3</w:t>
            </w:r>
            <w:r>
              <w:rPr>
                <w:b w:val="0"/>
                <w:color w:val="5F6B7A"/>
                <w:sz w:val="18"/>
              </w:rPr>
              <w:t xml:space="preserve"> EUR m</w:t>
            </w:r>
          </w:p>
          <w:p>
            <w:pPr>
              <w:spacing w:before="0" w:after="0"/>
            </w:pPr>
            <w:r>
              <w:rPr>
                <w:b w:val="0"/>
                <w:color w:val="5F6B7A"/>
                <w:sz w:val="15"/>
              </w:rPr>
              <w:t>▲ 2.4 %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C9D3DE" w:space="0"/>
              <w:bottom w:val="single" w:sz="4" w:color="C9D3DE" w:space="0"/>
              <w:right w:val="single" w:sz="4" w:color="C9D3DE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5F6B7A"/>
                <w:sz w:val="14"/>
              </w:rPr>
              <w:t>Adjusted EBITDA</w:t>
            </w:r>
            <w:r>
              <w:rPr>
                <w:b w:val="0"/>
                <w:color w:val="5F6B7A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F4E79"/>
                <w:sz w:val="34"/>
              </w:rPr>
              <w:t>25.8</w:t>
            </w:r>
            <w:r>
              <w:rPr>
                <w:b w:val="0"/>
                <w:color w:val="5F6B7A"/>
                <w:sz w:val="18"/>
              </w:rPr>
              <w:t xml:space="preserve"> EUR m</w:t>
            </w:r>
          </w:p>
          <w:p>
            <w:pPr>
              <w:spacing w:before="0" w:after="0"/>
            </w:pPr>
            <w:r>
              <w:rPr>
                <w:b w:val="0"/>
                <w:color w:val="5F6B7A"/>
                <w:sz w:val="15"/>
              </w:rPr>
              <w:t>▼ 13.4 %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C9D3DE" w:space="0"/>
              <w:bottom w:val="single" w:sz="4" w:color="C9D3DE" w:space="0"/>
              <w:right w:val="single" w:sz="4" w:color="C9D3DE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5F6B7A"/>
                <w:sz w:val="14"/>
              </w:rPr>
              <w:t>Net profit</w:t>
            </w:r>
            <w:r>
              <w:rPr>
                <w:b w:val="0"/>
                <w:color w:val="5F6B7A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F4E79"/>
                <w:sz w:val="34"/>
              </w:rPr>
              <w:t>6.0</w:t>
            </w:r>
            <w:r>
              <w:rPr>
                <w:b w:val="0"/>
                <w:color w:val="5F6B7A"/>
                <w:sz w:val="18"/>
              </w:rPr>
              <w:t xml:space="preserve"> EUR m</w:t>
            </w:r>
          </w:p>
          <w:p>
            <w:pPr>
              <w:spacing w:before="0" w:after="0"/>
            </w:pPr>
            <w:r>
              <w:rPr>
                <w:b w:val="0"/>
                <w:color w:val="5F6B7A"/>
                <w:sz w:val="15"/>
              </w:rPr>
              <w:t>▼ 41.7 %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C9D3DE" w:space="0"/>
              <w:bottom w:val="single" w:sz="4" w:color="C9D3DE" w:space="0"/>
              <w:right w:val="single" w:sz="4" w:color="C9D3DE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5F6B7A"/>
                <w:sz w:val="14"/>
              </w:rPr>
              <w:t>Net debt / EBITDA</w:t>
            </w:r>
            <w:r>
              <w:rPr>
                <w:b w:val="0"/>
                <w:color w:val="5F6B7A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F4E79"/>
                <w:sz w:val="34"/>
              </w:rPr>
              <w:t>2.78</w:t>
            </w:r>
            <w:r>
              <w:rPr>
                <w:b w:val="0"/>
                <w:color w:val="5F6B7A"/>
                <w:sz w:val="18"/>
              </w:rPr>
              <w:t xml:space="preserve"> x</w:t>
            </w:r>
          </w:p>
          <w:p>
            <w:pPr>
              <w:spacing w:before="0" w:after="0"/>
            </w:pPr>
            <w:r>
              <w:rPr>
                <w:b w:val="0"/>
                <w:color w:val="5F6B7A"/>
                <w:sz w:val="15"/>
              </w:rPr>
              <w:t>▲ 0.27x vs FY2025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01</w:t>
        <w:tab/>
      </w:r>
      <w:r>
        <w:rPr>
          <w:b/>
          <w:color w:val="1F4E79"/>
          <w:sz w:val="28"/>
        </w:rPr>
        <w:t>Quick summary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Sales up, profit down:</w:t>
      </w:r>
      <w:r>
        <w:rPr>
          <w:b w:val="0"/>
        </w:rPr>
        <w:t xml:space="preserve"> 6M revenue grew 2.4% to EUR 59.3m, but adjusted EBITDA fell 13.5% to EUR 25.8m and net profit 41.7% to EUR 6.0m. The EBITDA margin dropped to 43.5% from 51.5%</w:t>
      </w:r>
      <w:hyperlink r:id="rId13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color w:val="2A78D6"/>
          <w:vertAlign w:val="superscript"/>
        </w:rPr>
        <w:t>,</w:t>
      </w:r>
      <w:hyperlink r:id="rId14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Why:</w:t>
      </w:r>
      <w:r>
        <w:rPr>
          <w:b w:val="0"/>
        </w:rPr>
        <w:t xml:space="preserve"> the CEO names higher fuel prices and unplanned ship repairs after the ice season</w:t>
      </w:r>
      <w:hyperlink r:id="rId14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Balance sheet solid:</w:t>
      </w:r>
      <w:r>
        <w:rPr>
          <w:b w:val="0"/>
        </w:rPr>
        <w:t xml:space="preserve"> net debt EUR 145.8m, or 2.78x LTM adjusted EBITDA; equity is 59.8% of assets (both ratios calculated by the tool)</w:t>
      </w:r>
      <w:hyperlink r:id="rId13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Dividend above policy:</w:t>
      </w:r>
      <w:r>
        <w:rPr>
          <w:b w:val="0"/>
        </w:rPr>
        <w:t xml:space="preserve"> EUR 0.073 per share (EUR 19.2m in total), 85% of 2025 profit against a policy minimum of 70%; paid 2026-05-20</w:t>
      </w:r>
      <w:hyperlink r:id="rId13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State-owned; old court case still open:</w:t>
      </w:r>
      <w:r>
        <w:rPr>
          <w:b w:val="0"/>
        </w:rPr>
        <w:t xml:space="preserve"> Estonia holds 67.03%</w:t>
      </w:r>
      <w:hyperlink r:id="rId13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 In the bribery case of former executives the court acquitted them on limitation grounds on 2024-06-27; both sides appealed and a later ruling was not found - needs review</w:t>
      </w:r>
      <w:hyperlink r:id="rId15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color w:val="2A78D6"/>
          <w:vertAlign w:val="superscript"/>
        </w:rPr>
        <w:t>,</w:t>
      </w:r>
      <w:hyperlink r:id="rId16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b w:val="0"/>
        </w:rPr>
        <w:t>.</w:t>
      </w: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02</w:t>
        <w:tab/>
      </w:r>
      <w:r>
        <w:rPr>
          <w:b/>
          <w:color w:val="1F4E79"/>
          <w:sz w:val="28"/>
        </w:rPr>
        <w:t>Instruments held and ISINs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1513"/>
        <w:gridCol w:w="2241"/>
        <w:gridCol w:w="840"/>
        <w:gridCol w:w="1120"/>
        <w:gridCol w:w="1569"/>
        <w:gridCol w:w="2353"/>
      </w:tblGrid>
      <w:tr>
        <w:tc>
          <w:tcPr>
            <w:tcW w:type="dxa" w:w="1513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ISIN</w:t>
            </w:r>
          </w:p>
        </w:tc>
        <w:tc>
          <w:tcPr>
            <w:tcW w:type="dxa" w:w="2241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Instrument</w:t>
            </w:r>
          </w:p>
        </w:tc>
        <w:tc>
          <w:tcPr>
            <w:tcW w:type="dxa" w:w="841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1F4E79"/>
                <w:sz w:val="16"/>
              </w:rPr>
              <w:t>Coupon</w:t>
            </w:r>
          </w:p>
        </w:tc>
        <w:tc>
          <w:tcPr>
            <w:tcW w:type="dxa" w:w="1121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Maturity</w:t>
            </w:r>
          </w:p>
        </w:tc>
        <w:tc>
          <w:tcPr>
            <w:tcW w:type="dxa" w:w="1569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Issue rating</w:t>
            </w:r>
          </w:p>
        </w:tc>
        <w:tc>
          <w:tcPr>
            <w:tcW w:type="dxa" w:w="2353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Note</w:t>
            </w:r>
          </w:p>
        </w:tc>
      </w:tr>
      <w:tr>
        <w:tc>
          <w:tcPr>
            <w:tcW w:type="dxa" w:w="1513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EE3100021635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AS Tallinna Sadam ordinary share (TSM1T)</w:t>
            </w:r>
          </w:p>
        </w:tc>
        <w:tc>
          <w:tcPr>
            <w:tcW w:type="dxa" w:w="84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share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2353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Republic of Estonia holds 67.03%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03</w:t>
        <w:tab/>
      </w:r>
      <w:r>
        <w:rPr>
          <w:b/>
          <w:color w:val="1F4E79"/>
          <w:sz w:val="28"/>
        </w:rPr>
        <w:t>Key ratios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864"/>
        <w:gridCol w:w="1156"/>
        <w:gridCol w:w="1156"/>
        <w:gridCol w:w="1156"/>
        <w:gridCol w:w="1156"/>
        <w:gridCol w:w="2148"/>
      </w:tblGrid>
      <w:tr>
        <w:tc>
          <w:tcPr>
            <w:tcW w:type="dxa" w:w="2864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Metric</w:t>
            </w:r>
          </w:p>
        </w:tc>
        <w:tc>
          <w:tcPr>
            <w:tcW w:type="dxa" w:w="1157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1F4E79"/>
                <w:sz w:val="16"/>
              </w:rPr>
              <w:t>FY2024</w:t>
            </w:r>
          </w:p>
        </w:tc>
        <w:tc>
          <w:tcPr>
            <w:tcW w:type="dxa" w:w="1157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1F4E79"/>
                <w:sz w:val="16"/>
              </w:rPr>
              <w:t>FY2025</w:t>
            </w:r>
          </w:p>
        </w:tc>
        <w:tc>
          <w:tcPr>
            <w:tcW w:type="dxa" w:w="1157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1F4E79"/>
                <w:sz w:val="16"/>
              </w:rPr>
              <w:t>6M2025</w:t>
            </w:r>
          </w:p>
        </w:tc>
        <w:tc>
          <w:tcPr>
            <w:tcW w:type="dxa" w:w="1157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1F4E79"/>
                <w:sz w:val="16"/>
              </w:rPr>
              <w:t>6M2026</w:t>
            </w:r>
          </w:p>
        </w:tc>
        <w:tc>
          <w:tcPr>
            <w:tcW w:type="dxa" w:w="2148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1F4E79"/>
                <w:sz w:val="16"/>
              </w:rPr>
              <w:t>Change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Revenue, EUR m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119.6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118.7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57.9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59.3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2.4 %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Adjusted EBITDA, EUR m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53.1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56.5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29.8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25.8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13.4 %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Adjusted EBITDA margin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44.4%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47.6%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51.5%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43.5%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8 p. p.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Operating profit, EUR m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29.1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32.7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18.3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13.6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25.7 %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profit, EUR m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19.2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22.5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10.3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6.0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41.7 %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Investments, EUR m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38.8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33.2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12.0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▼ 70.8 %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debt, EUR m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167.6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141.7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143.7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145.8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▲ 1.5 %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debt / EBITDA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3.15xᶜ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2.51xᶜ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2.78xᶜ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▲ 0.27x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Equity ratio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61.2%ᶜ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59.3%ᶜ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59.8%ᶜ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0.5 p. p.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Cargo volume, m t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13.1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13.8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6.83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6.48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5.1 %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Passengers, m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3.66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3.59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1.9 %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Dividend per share, EUR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0.073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0.073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• 0.0 % vs FY2024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5F6B7A"/>
          <w:sz w:val="16"/>
        </w:rPr>
        <w:t>Colours: green change – the metric is improving, red – worsening. Latest-period cell background: green – good level, amber – average, red – weak (tool benchmarks, config/metric_rules.yaml).</w:t>
      </w:r>
    </w:p>
    <w:p>
      <w:pPr>
        <w:spacing w:before="40" w:after="60"/>
      </w:pPr>
      <w:r>
        <w:rPr>
          <w:b w:val="0"/>
          <w:color w:val="5F6B7A"/>
          <w:sz w:val="16"/>
        </w:rPr>
        <w:t>* – taken from the report summary;  ᶜ – calculated by the tool. Small numbers next to text link to the source (opens the document at the cited page).</w:t>
      </w:r>
    </w:p>
    <w:p>
      <w:r>
        <w:drawing>
          <wp:inline xmlns:a="http://schemas.openxmlformats.org/drawingml/2006/main" xmlns:pic="http://schemas.openxmlformats.org/drawingml/2006/picture">
            <wp:extent cx="6120000" cy="17138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-of-tallinn_e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13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04</w:t>
        <w:tab/>
      </w:r>
      <w:r>
        <w:rPr>
          <w:b/>
          <w:color w:val="1F4E79"/>
          <w:sz w:val="28"/>
        </w:rPr>
        <w:t>Business performance review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Cargo 6.48m t (−5.0%), mainly liquid bulk (−33.8%); passengers 3.59m (−2.0%); vessel calls −4.8%</w:t>
      </w:r>
      <w:hyperlink r:id="rId13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Cruise passengers +47.8%, cruise ship calls +29.3% (6M)</w:t>
      </w:r>
      <w:hyperlink r:id="rId13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Ferries (Saaremaa, Hiiumaa):</w:t>
      </w:r>
      <w:r>
        <w:rPr>
          <w:b w:val="0"/>
        </w:rPr>
        <w:t xml:space="preserve"> Q2 trips +1.2%, passengers +1.8%; additional trips of ferry Regula agreed for summer</w:t>
      </w:r>
      <w:hyperlink r:id="rId13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b w:val="0"/>
        </w:rPr>
        <w:t>. Icebreaker Botnica charter 130 days (110)</w:t>
      </w:r>
      <w:hyperlink r:id="rId13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Segments (6M, revenue / adj. EBITDA, EURm):</w:t>
      </w:r>
      <w:r>
        <w:rPr>
          <w:b w:val="0"/>
        </w:rPr>
        <w:t xml:space="preserve"> passenger harbours 18.9 / 9.6; cargo harbours 15.8 / 7.3; ferry 18.6 / 5.9; other 5.9 / 3.1</w:t>
      </w:r>
      <w:hyperlink r:id="rId13">
        <w:r>
          <w:rPr>
            <w:color w:val="2A78D6"/>
            <w:vertAlign w:val="superscript"/>
            <w:sz w:val="17"/>
          </w:rPr>
          <w:t xml:space="preserve">12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Risks per the report:</w:t>
      </w:r>
      <w:r>
        <w:rPr>
          <w:b w:val="0"/>
        </w:rPr>
        <w:t xml:space="preserve"> the war in Ukraine reduces liquid bulk volumes; the US-Iran conflict and Strait of Hormuz blockade raise fuel costs</w:t>
      </w:r>
      <w:hyperlink r:id="rId13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b w:val="0"/>
        </w:rPr>
        <w:t>.</w:t>
      </w: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05</w:t>
        <w:tab/>
      </w:r>
      <w:r>
        <w:rPr>
          <w:b/>
          <w:color w:val="1F4E79"/>
          <w:sz w:val="28"/>
        </w:rPr>
        <w:t>Financials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FY2025:</w:t>
      </w:r>
      <w:r>
        <w:rPr>
          <w:b w:val="0"/>
        </w:rPr>
        <w:t xml:space="preserve"> revenue EUR 118.7m (−0.8%), adjusted EBITDA EUR 56.5m (+6.4%), net profit EUR 22.5m (+17.3%), investments EUR 33.2m, free cash flow EUR 50.9m</w:t>
      </w:r>
      <w:hyperlink r:id="rId17">
        <w:r>
          <w:rPr>
            <w:color w:val="2A78D6"/>
            <w:vertAlign w:val="superscript"/>
            <w:sz w:val="17"/>
          </w:rPr>
          <w:t xml:space="preserve">9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6M investments EUR 3.5m (12.0m). The 2025 comparison includes a one-off EUR 0.9m gain on the land sale for the Rail Baltica station</w:t>
      </w:r>
      <w:hyperlink r:id="rId13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b w:val="0"/>
        </w:rPr>
        <w:t>.</w:t>
      </w: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06</w:t>
        <w:tab/>
      </w:r>
      <w:r>
        <w:rPr>
          <w:b/>
          <w:color w:val="1F4E79"/>
          <w:sz w:val="28"/>
        </w:rPr>
        <w:t>Past plans vs outcomes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577"/>
        <w:gridCol w:w="2577"/>
        <w:gridCol w:w="3138"/>
        <w:gridCol w:w="1344"/>
      </w:tblGrid>
      <w:tr>
        <w:tc>
          <w:tcPr>
            <w:tcW w:type="dxa" w:w="2578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Plan / target</w:t>
            </w:r>
          </w:p>
        </w:tc>
        <w:tc>
          <w:tcPr>
            <w:tcW w:type="dxa" w:w="2578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Outcome</w:t>
            </w:r>
          </w:p>
        </w:tc>
        <w:tc>
          <w:tcPr>
            <w:tcW w:type="dxa" w:w="3138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What changed and why</w:t>
            </w:r>
          </w:p>
        </w:tc>
        <w:tc>
          <w:tcPr>
            <w:tcW w:type="dxa" w:w="1345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Status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'The results of 2025 and the outlook for 2026 allow to continue and exceed the agreed dividend policy' (Feb 2026)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85% of profit paid (policy ≥70%)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Met: 85% payout versus the ≥70% policy. But 6M 2026 profit fell to EUR 6.0m (10.3m) on fuel and repair costs and lower liquid bulk, so next year's dividend base may be smaller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DDE3EA" w:space="0"/>
              <w:right w:val="nil"/>
            </w:tcBorders>
            <w:shd w:val="clear" w:color="auto" w:fill="E3F3E8"/>
          </w:tcPr>
          <w:p>
            <w:pPr>
              <w:spacing w:before="0" w:after="0"/>
            </w:pPr>
            <w:r>
              <w:rPr>
                <w:b/>
                <w:sz w:val="17"/>
              </w:rPr>
              <w:t>Met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Scope 1+2 emissions −55% by 2030 (2019 base 33,086 t CO2e), climate-neutral operations by 2050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2025: 19,261 t CO2e (−41.8% vs 2019; calculated by the tool)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Progressing: −41.8% reached by 2025; about 13 p.p. more is needed by 2030 (calculated by the tool)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DDE3EA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In progress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Outlook (2026-08): new ro-ro and container lines, Muuga industrial park, Old City Harbour real estate tender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New - assess in the next review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New in the 2026-08 outlook; nothing to compare yet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DDE3EA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In progress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07</w:t>
        <w:tab/>
      </w:r>
      <w:r>
        <w:rPr>
          <w:b/>
          <w:color w:val="1F4E79"/>
          <w:sz w:val="28"/>
        </w:rPr>
        <w:t>Investor information &amp; conclusions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Instrument held:</w:t>
      </w:r>
      <w:r>
        <w:rPr>
          <w:b w:val="0"/>
        </w:rPr>
        <w:t xml:space="preserve"> shares (TSM1T, Nasdaq Tallinn). No bonds; borrowing is via loans (EUR 173.4m, of which 93.1m current)</w:t>
      </w:r>
      <w:hyperlink r:id="rId13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Dividend base:</w:t>
      </w:r>
      <w:r>
        <w:rPr>
          <w:b w:val="0"/>
        </w:rPr>
        <w:t xml:space="preserve"> dividends are based on prior-year profit; 6M profit EUR 6.0m (10.3m) - if the trend continues, the base for the 2027 dividend will be lower</w:t>
      </w:r>
      <w:hyperlink r:id="rId13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color w:val="2A78D6"/>
          <w:vertAlign w:val="superscript"/>
        </w:rPr>
        <w:t>,</w:t>
      </w:r>
      <w:hyperlink r:id="rId14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EUR 93.1m of loans are current:</w:t>
      </w:r>
      <w:r>
        <w:rPr>
          <w:b w:val="0"/>
        </w:rPr>
        <w:t xml:space="preserve"> watch refinancing</w:t>
      </w:r>
      <w:hyperlink r:id="rId13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Conclusion:</w:t>
      </w:r>
      <w:r>
        <w:rPr>
          <w:b w:val="0"/>
        </w:rPr>
        <w:t xml:space="preserve"> strong balance sheet and stable debt, but 2026 profitability is declining due to fuel and repair costs and lower liquid bulk. Watch: 9M report, the ferry service contract, the outcome of the court case.</w:t>
      </w: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08</w:t>
        <w:tab/>
      </w:r>
      <w:r>
        <w:rPr>
          <w:b/>
          <w:color w:val="1F4E79"/>
          <w:sz w:val="28"/>
        </w:rPr>
        <w:t>In the press</w:t>
      </w:r>
    </w:p>
    <w:p>
      <w:pPr>
        <w:spacing w:before="40" w:after="60"/>
      </w:pPr>
      <w:r>
        <w:rPr>
          <w:b w:val="0"/>
          <w:color w:val="5F6B7A"/>
          <w:sz w:val="18"/>
        </w:rPr>
        <w:t>Automatic news scan (Google News, EE), 2026-07-24 – 2026-10-22: 3 articles.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20"/>
        <w:gridCol w:w="1360"/>
        <w:gridCol w:w="7257"/>
      </w:tblGrid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A1A1A"/>
                <w:sz w:val="17"/>
              </w:rPr>
              <w:t>2026-10-09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21">
              <w:r>
                <w:rPr>
                  <w:color w:val="1A1A1A"/>
                  <w:sz w:val="18"/>
                </w:rPr>
                <w:t xml:space="preserve">Tallinna Sadama reisijatearv kvartalis kasvas, kuid kaubamaht langes</w:t>
              </w:r>
            </w:hyperlink>
            <w:r>
              <w:rPr>
                <w:b w:val="0"/>
                <w:color w:val="5F6B7A"/>
                <w:sz w:val="15"/>
              </w:rPr>
              <w:t xml:space="preserve">   МК-Эстония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A1A1A"/>
                <w:sz w:val="17"/>
              </w:rPr>
              <w:t>2026-10-09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22">
              <w:r>
                <w:rPr>
                  <w:color w:val="1A1A1A"/>
                  <w:sz w:val="18"/>
                </w:rPr>
                <w:t xml:space="preserve">Tallinna Sadama kaubamaht kahanes, reisijate arv pöördus kasvule</w:t>
              </w:r>
            </w:hyperlink>
            <w:r>
              <w:rPr>
                <w:b w:val="0"/>
                <w:color w:val="5F6B7A"/>
                <w:sz w:val="15"/>
              </w:rPr>
              <w:t xml:space="preserve">   Logistikauudised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A1A1A"/>
                <w:sz w:val="17"/>
              </w:rPr>
              <w:t>2026-10-09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23">
              <w:r>
                <w:rPr>
                  <w:color w:val="1A1A1A"/>
                  <w:sz w:val="18"/>
                </w:rPr>
                <w:t xml:space="preserve">ASi Tallinna Sadam 2026. aasta III kvartali ja 9 kuu tegevusmahud</w:t>
              </w:r>
            </w:hyperlink>
            <w:r>
              <w:rPr>
                <w:b w:val="0"/>
                <w:color w:val="5F6B7A"/>
                <w:sz w:val="15"/>
              </w:rPr>
              <w:t xml:space="preserve">   GlobeNewswire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09</w:t>
        <w:tab/>
      </w:r>
      <w:r>
        <w:rPr>
          <w:b/>
          <w:color w:val="1F4E79"/>
          <w:sz w:val="28"/>
        </w:rPr>
        <w:t>ESG report</w:t>
      </w:r>
    </w:p>
    <w:p>
      <w:pPr>
        <w:keepNext/>
        <w:shd w:val="clear" w:color="auto" w:fill="EAF1F8"/>
        <w:spacing w:before="200" w:after="80"/>
        <w:ind w:left="85"/>
      </w:pPr>
      <w:r>
        <w:rPr>
          <w:b/>
          <w:caps/>
          <w:color w:val="1F4E79"/>
          <w:sz w:val="19"/>
        </w:rPr>
        <w:t>Exclusionary screening (companies)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company is not involved in excluded sectors: controversial and nuclear weapons, tobacco, gambling and restricted sectors in fossil fuel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Port operator, ferry services, icebreaker, real estate - no weapons, tobacco, gambling, coal or oil exploration</w:t>
            </w:r>
            <w:hyperlink r:id="rId13">
              <w:r>
                <w:rPr>
                  <w:color w:val="2A78D6"/>
                  <w:vertAlign w:val="superscript"/>
                  <w:sz w:val="15"/>
                </w:rPr>
                <w:t xml:space="preserve">2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Handles liquid bulk (oil products), volumes declining (−33.8% in 6M)</w:t>
            </w:r>
            <w:hyperlink r:id="rId13">
              <w:r>
                <w:rPr>
                  <w:color w:val="2A78D6"/>
                  <w:vertAlign w:val="superscript"/>
                  <w:sz w:val="15"/>
                </w:rPr>
                <w:t xml:space="preserve">2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company does not have red flag/signal related to controversies based on UN Global Compact, OECD Guidelines for Multinational Enterprises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UN Global Compact or OECD related controversies.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bribery case from 2015 concerns former executives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company is the injured party, not a defendant</w:t>
            </w:r>
            <w:hyperlink r:id="rId15">
              <w:r>
                <w:rPr>
                  <w:color w:val="2A78D6"/>
                  <w:vertAlign w:val="superscript"/>
                  <w:sz w:val="15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5"/>
                </w:rPr>
                <w:t xml:space="preserve">8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company is not in the list of sanctions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Not found on the EU, UN, UK, US OFAC consolidated sanctions lists (automatic check 2026-10-22).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issues were not identified from adverse media checks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new adverse news in the automatic news scan (Estonian and English media, last 30 days, 2026-10-22).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Older coverage concerns the former executives' case</w:t>
            </w:r>
            <w:hyperlink r:id="rId15">
              <w:r>
                <w:rPr>
                  <w:color w:val="2A78D6"/>
                  <w:vertAlign w:val="superscript"/>
                  <w:sz w:val="15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5"/>
                </w:rPr>
                <w:t xml:space="preserve">8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News summary 2026-07-24 – 2026-10-22: 3 articles, 0 with an adverse keyword in the headline (details in the section "In the press").</w:t>
            </w:r>
          </w:p>
        </w:tc>
      </w:tr>
    </w:tbl>
    <w:p>
      <w:pPr>
        <w:spacing w:before="120" w:after="40"/>
      </w:pPr>
      <w:r>
        <w:rPr>
          <w:i/>
          <w:color w:val="333333"/>
          <w:sz w:val="18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AF1F8"/>
        <w:spacing w:before="200" w:after="80"/>
        <w:ind w:left="85"/>
      </w:pPr>
      <w:r>
        <w:rPr>
          <w:b/>
          <w:caps/>
          <w:color w:val="1F4E79"/>
          <w:sz w:val="19"/>
        </w:rPr>
        <w:t>ESG integration and positive screening (positive answers imply higher allocation)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company is promoting environmental or social characteristics (activities, ESG policy, good ESG rating, etc)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Voluntary 2025 sustainability report following CSRD/ESRS principles</w:t>
            </w:r>
            <w:hyperlink r:id="rId24">
              <w:r>
                <w:rPr>
                  <w:color w:val="2A78D6"/>
                  <w:vertAlign w:val="superscript"/>
                  <w:sz w:val="15"/>
                </w:rPr>
                <w:t xml:space="preserve">15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Target of 90% renewable energy for own use</w:t>
            </w:r>
            <w:hyperlink r:id="rId19">
              <w:r>
                <w:rPr>
                  <w:color w:val="2A78D6"/>
                  <w:vertAlign w:val="superscript"/>
                  <w:sz w:val="15"/>
                </w:rPr>
                <w:t xml:space="preserve">16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activities of the company or it’s strategy is aligned with the taxonomy and/or Paris agreement targets (e.g. net zero commitment)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Climate-neutral operations by 2050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Scope 1+2 emissions −55% by 2030 versus 2019</w:t>
            </w:r>
            <w:hyperlink r:id="rId19">
              <w:r>
                <w:rPr>
                  <w:color w:val="2A78D6"/>
                  <w:vertAlign w:val="superscript"/>
                  <w:sz w:val="15"/>
                </w:rPr>
                <w:t xml:space="preserve">16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Progress: 19,261 t CO2e in 2025, −41.8% versus 2019 (calculated by the tool)</w:t>
            </w:r>
            <w:hyperlink r:id="rId25">
              <w:r>
                <w:rPr>
                  <w:color w:val="2A78D6"/>
                  <w:vertAlign w:val="superscript"/>
                  <w:sz w:val="15"/>
                </w:rPr>
                <w:t xml:space="preserve">17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company does not have yellow flag/signal related to controversies based on UN Global Compact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current yellow flag.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former executives' case is historical (from 2015) and the company is the injured party</w:t>
            </w:r>
            <w:hyperlink r:id="rId15">
              <w:r>
                <w:rPr>
                  <w:color w:val="2A78D6"/>
                  <w:vertAlign w:val="superscript"/>
                  <w:sz w:val="15"/>
                </w:rPr>
                <w:t xml:space="preserve">7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company fulfills the expectations from SEB thematic and sector policies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Applicable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SEB Investments policy</w:t>
            </w:r>
            <w:hyperlink r:id="rId26">
              <w:r>
                <w:rPr>
                  <w:color w:val="2A78D6"/>
                  <w:vertAlign w:val="superscript"/>
                  <w:sz w:val="15"/>
                </w:rPr>
                <w:t xml:space="preserve">18</w:t>
              </w:r>
            </w:hyperlink>
            <w:r>
              <w:rPr>
                <w:b w:val="0"/>
                <w:color w:val="333333"/>
                <w:sz w:val="18"/>
              </w:rPr>
              <w:t xml:space="preserve"> and the Shipping policy, because the ferry segment is 31.4% of 6M 2026 revenue, above the 15% threshold (calculated by the tool)</w:t>
            </w:r>
            <w:hyperlink r:id="rId13">
              <w:r>
                <w:rPr>
                  <w:color w:val="2A78D6"/>
                  <w:vertAlign w:val="superscript"/>
                  <w:sz w:val="15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7">
              <w:r>
                <w:rPr>
                  <w:color w:val="2A78D6"/>
                  <w:vertAlign w:val="superscript"/>
                  <w:sz w:val="15"/>
                </w:rPr>
                <w:t xml:space="preserve">19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Transportation policy does not apply (road, rail and air only)</w:t>
            </w:r>
            <w:hyperlink r:id="rId28">
              <w:r>
                <w:rPr>
                  <w:color w:val="2A78D6"/>
                  <w:vertAlign w:val="superscript"/>
                  <w:sz w:val="15"/>
                </w:rPr>
                <w:t xml:space="preserve">20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Met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governance or international-norm breach by the company</w:t>
            </w:r>
            <w:hyperlink r:id="rId15">
              <w:r>
                <w:rPr>
                  <w:color w:val="2A78D6"/>
                  <w:vertAlign w:val="superscript"/>
                  <w:sz w:val="15"/>
                </w:rPr>
                <w:t xml:space="preserve">7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Annual sustainability report with climate data</w:t>
            </w:r>
            <w:hyperlink r:id="rId24">
              <w:r>
                <w:rPr>
                  <w:color w:val="2A78D6"/>
                  <w:vertAlign w:val="superscript"/>
                  <w:sz w:val="15"/>
                </w:rPr>
                <w:t xml:space="preserve">15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Climate neutrality by 2050 and a plan to move ferries to alternative fuels or electrification, in line with SEB's decarbonisation-plan expectation</w:t>
            </w:r>
            <w:hyperlink r:id="rId29">
              <w:r>
                <w:rPr>
                  <w:color w:val="2A78D6"/>
                  <w:vertAlign w:val="superscript"/>
                  <w:sz w:val="15"/>
                </w:rPr>
                <w:t xml:space="preserve">21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7">
              <w:r>
                <w:rPr>
                  <w:color w:val="2A78D6"/>
                  <w:vertAlign w:val="superscript"/>
                  <w:sz w:val="15"/>
                </w:rPr>
                <w:t xml:space="preserve">22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Liquid bulk (oil products) handling is declining, −33.8% in 6M 2026</w:t>
            </w:r>
            <w:hyperlink r:id="rId13">
              <w:r>
                <w:rPr>
                  <w:color w:val="2A78D6"/>
                  <w:vertAlign w:val="superscript"/>
                  <w:sz w:val="15"/>
                </w:rPr>
                <w:t xml:space="preserve">23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Could be improved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Public reports do not describe shipping-specific items (ship energy efficiency plans, CII ratings, ship recycling)</w:t>
            </w:r>
            <w:hyperlink r:id="rId27">
              <w:r>
                <w:rPr>
                  <w:color w:val="2A78D6"/>
                  <w:vertAlign w:val="superscript"/>
                  <w:sz w:val="15"/>
                </w:rPr>
                <w:t xml:space="preserve">24</w:t>
              </w:r>
            </w:hyperlink>
            <w:r>
              <w:rPr>
                <w:b w:val="0"/>
                <w:color w:val="333333"/>
                <w:sz w:val="18"/>
              </w:rPr>
              <w:t xml:space="preserve"> or human rights due diligence, whistleblowing and anti-corruption policies</w:t>
            </w:r>
            <w:hyperlink r:id="rId27">
              <w:r>
                <w:rPr>
                  <w:color w:val="2A78D6"/>
                  <w:vertAlign w:val="superscript"/>
                  <w:sz w:val="15"/>
                </w:rPr>
                <w:t xml:space="preserve">22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30">
              <w:r>
                <w:rPr>
                  <w:color w:val="2A78D6"/>
                  <w:vertAlign w:val="superscript"/>
                  <w:sz w:val="15"/>
                </w:rPr>
                <w:t xml:space="preserve">25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AF1F8"/>
        <w:spacing w:before="200" w:after="80"/>
        <w:ind w:left="85"/>
      </w:pPr>
      <w:r>
        <w:rPr>
          <w:b/>
          <w:caps/>
          <w:color w:val="1F4E79"/>
          <w:sz w:val="19"/>
        </w:rPr>
        <w:t>Engagement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Is there a need for pro-active engagement with the company?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need.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AF1F8"/>
        <w:spacing w:before="200" w:after="80"/>
        <w:ind w:left="85"/>
      </w:pPr>
      <w:r>
        <w:rPr>
          <w:b/>
          <w:caps/>
          <w:color w:val="1F4E79"/>
          <w:sz w:val="19"/>
        </w:rPr>
        <w:t>Indicators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indicators of the company support the targets of sustainability and PAI indicators followed by the Fund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Scope 1+2 emissions 19,261 t CO2e in 2025, −41.8% versus 2019 (calculated by the tool)</w:t>
            </w:r>
            <w:hyperlink r:id="rId25">
              <w:r>
                <w:rPr>
                  <w:color w:val="2A78D6"/>
                  <w:vertAlign w:val="superscript"/>
                  <w:sz w:val="15"/>
                </w:rPr>
                <w:t xml:space="preserve">17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Target −55% by 2030 and climate neutrality by 2050</w:t>
            </w:r>
            <w:hyperlink r:id="rId19">
              <w:r>
                <w:rPr>
                  <w:color w:val="2A78D6"/>
                  <w:vertAlign w:val="superscript"/>
                  <w:sz w:val="15"/>
                </w:rPr>
                <w:t xml:space="preserve">16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spacing w:before="120" w:after="40"/>
      </w:pPr>
      <w:r>
        <w:rPr>
          <w:b/>
          <w:sz w:val="19"/>
        </w:rPr>
        <w:t xml:space="preserve">Conclusion: </w:t>
      </w:r>
      <w:r>
        <w:rPr>
          <w:b w:val="0"/>
          <w:sz w:val="19"/>
        </w:rPr>
        <w:t>No exclusions or red flags. Clear climate targets with good progress (−41.8% versus 2019). Shipping-specific disclosures could be more detailed.</w:t>
      </w:r>
    </w:p>
    <w:p>
      <w:pPr>
        <w:spacing w:before="40" w:after="60"/>
      </w:pPr>
      <w:r>
        <w:rPr>
          <w:b w:val="0"/>
          <w:color w:val="5F6B7A"/>
          <w:sz w:val="16"/>
        </w:rPr>
        <w:t>SEB policies applied: Policy on Sustainability Considerations in Investments (SEB AB); Shipping sector policy; Environmental Policy on Climate, Nature and Water (thematic); Social and Human Rights Policy (thematic); Governance expectations in sector policies (anti-corruption, tax, reporting)</w:t>
      </w: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10</w:t>
        <w:tab/>
      </w:r>
      <w:r>
        <w:rPr>
          <w:b/>
          <w:color w:val="1F4E79"/>
          <w:sz w:val="28"/>
        </w:rPr>
        <w:t>Sources</w:t>
      </w:r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1.</w:t>
        <w:tab/>
      </w:r>
      <w:hyperlink r:id="rId12">
        <w:r>
          <w:rPr>
            <w:color w:val="2A78D6"/>
            <w:sz w:val="17"/>
          </w:rPr>
          <w:t xml:space="preserve">Investor - stock exchange info,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2.</w:t>
        <w:tab/>
      </w:r>
      <w:hyperlink r:id="rId13">
        <w:r>
          <w:rPr>
            <w:color w:val="2A78D6"/>
            <w:sz w:val="17"/>
          </w:rPr>
          <w:t xml:space="preserve">AS Tallinna Sadam - Interim report Q2 and 6M 2026, 2026-08-10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3.</w:t>
        <w:tab/>
      </w:r>
      <w:hyperlink r:id="rId13">
        <w:r>
          <w:rPr>
            <w:color w:val="2A78D6"/>
            <w:sz w:val="17"/>
          </w:rPr>
          <w:t xml:space="preserve">AS Tallinna Sadam - Interim report Q2 and 6M 2026, p. 4, 2026-08-10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4.</w:t>
        <w:tab/>
      </w:r>
      <w:hyperlink r:id="rId14">
        <w:r>
          <w:rPr>
            <w:color w:val="2A78D6"/>
            <w:sz w:val="17"/>
          </w:rPr>
          <w:t xml:space="preserve">Stock exchange release: financial results for 2026 Q2 and 6 months, 2026-08-10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5.</w:t>
        <w:tab/>
      </w:r>
      <w:hyperlink r:id="rId13">
        <w:r>
          <w:rPr>
            <w:color w:val="2A78D6"/>
            <w:sz w:val="17"/>
          </w:rPr>
          <w:t xml:space="preserve">AS Tallinna Sadam - Interim report Q2 and 6M 2026, p. 14-15, 2026-08-10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6.</w:t>
        <w:tab/>
      </w:r>
      <w:hyperlink r:id="rId13">
        <w:r>
          <w:rPr>
            <w:color w:val="2A78D6"/>
            <w:sz w:val="17"/>
          </w:rPr>
          <w:t xml:space="preserve">AS Tallinna Sadam - Interim report Q2 and 6M 2026, p. 13, 2026-08-10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7.</w:t>
        <w:tab/>
      </w:r>
      <w:hyperlink r:id="rId15">
        <w:r>
          <w:rPr>
            <w:color w:val="2A78D6"/>
            <w:sz w:val="17"/>
          </w:rPr>
          <w:t xml:space="preserve">ERR: defence appeals acquittal in Tallinna Sadam case, 2024-07-24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8.</w:t>
        <w:tab/>
      </w:r>
      <w:hyperlink r:id="rId16">
        <w:r>
          <w:rPr>
            <w:color w:val="2A78D6"/>
            <w:sz w:val="17"/>
          </w:rPr>
          <w:t xml:space="preserve">ERR: State Prosecutor appeals Tallinna Sadam ruling, 2024-07-26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9.</w:t>
        <w:tab/>
      </w:r>
      <w:hyperlink r:id="rId17">
        <w:r>
          <w:rPr>
            <w:color w:val="2A78D6"/>
            <w:sz w:val="17"/>
          </w:rPr>
          <w:t xml:space="preserve">Results of Q4 and 12 months 2025 - webinar presentation, 2026-02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10.</w:t>
        <w:tab/>
      </w:r>
      <w:hyperlink r:id="rId13">
        <w:r>
          <w:rPr>
            <w:color w:val="2A78D6"/>
            <w:sz w:val="17"/>
          </w:rPr>
          <w:t xml:space="preserve">AS Tallinna Sadam - Interim report Q2 and 6M 2026, p. 15, 2026-08-10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11.</w:t>
        <w:tab/>
      </w:r>
      <w:hyperlink r:id="rId13">
        <w:r>
          <w:rPr>
            <w:color w:val="2A78D6"/>
            <w:sz w:val="17"/>
          </w:rPr>
          <w:t xml:space="preserve">AS Tallinna Sadam - Interim report Q2 and 6M 2026, p. 14, 2026-08-10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12.</w:t>
        <w:tab/>
      </w:r>
      <w:hyperlink r:id="rId13">
        <w:r>
          <w:rPr>
            <w:color w:val="2A78D6"/>
            <w:sz w:val="17"/>
          </w:rPr>
          <w:t xml:space="preserve">AS Tallinna Sadam - Interim report Q2 and 6M 2026, p. 9, 2026-08-10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13.</w:t>
        <w:tab/>
      </w:r>
      <w:hyperlink r:id="rId19">
        <w:r>
          <w:rPr>
            <w:color w:val="2A78D6"/>
            <w:sz w:val="17"/>
          </w:rPr>
          <w:t xml:space="preserve">Sustainability Report 2025, p. 19, 22, 2026-04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14.</w:t>
        <w:tab/>
      </w:r>
      <w:hyperlink r:id="rId20">
        <w:r>
          <w:rPr>
            <w:color w:val="2A78D6"/>
            <w:sz w:val="17"/>
          </w:rPr>
          <w:t xml:space="preserve">Q2 2026 webinar presentation, 2026-08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15.</w:t>
        <w:tab/>
      </w:r>
      <w:hyperlink r:id="rId24">
        <w:r>
          <w:rPr>
            <w:color w:val="2A78D6"/>
            <w:sz w:val="17"/>
          </w:rPr>
          <w:t xml:space="preserve">Sustainability Report 2025, 2026-04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16.</w:t>
        <w:tab/>
      </w:r>
      <w:hyperlink r:id="rId19">
        <w:r>
          <w:rPr>
            <w:color w:val="2A78D6"/>
            <w:sz w:val="17"/>
          </w:rPr>
          <w:t xml:space="preserve">Sustainability Report 2025, p. 19, 2026-04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17.</w:t>
        <w:tab/>
      </w:r>
      <w:hyperlink r:id="rId25">
        <w:r>
          <w:rPr>
            <w:color w:val="2A78D6"/>
            <w:sz w:val="17"/>
          </w:rPr>
          <w:t xml:space="preserve">Sustainability Report 2025, p. 22, 2026-04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18.</w:t>
        <w:tab/>
      </w:r>
      <w:hyperlink r:id="rId26">
        <w:r>
          <w:rPr>
            <w:color w:val="2A78D6"/>
            <w:sz w:val="17"/>
          </w:rPr>
          <w:t xml:space="preserve">SEB Policy on Sustainability Considerations in Investments (2026-04-15), p. 5, 2026-04-15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19.</w:t>
        <w:tab/>
      </w:r>
      <w:hyperlink r:id="rId27">
        <w:r>
          <w:rPr>
            <w:color w:val="2A78D6"/>
            <w:sz w:val="17"/>
          </w:rPr>
          <w:t xml:space="preserve">SEB Sector Policy on Shipping (2026-04-23), p. 5, 2026-04-23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20.</w:t>
        <w:tab/>
      </w:r>
      <w:hyperlink r:id="rId28">
        <w:r>
          <w:rPr>
            <w:color w:val="2A78D6"/>
            <w:sz w:val="17"/>
          </w:rPr>
          <w:t xml:space="preserve">SEB Sector Policy on Transportation (2026-04-23), p. 4, 2026-04-23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21.</w:t>
        <w:tab/>
      </w:r>
      <w:hyperlink r:id="rId29">
        <w:r>
          <w:rPr>
            <w:color w:val="2A78D6"/>
            <w:sz w:val="17"/>
          </w:rPr>
          <w:t xml:space="preserve">Sustainability Report 2025, p. 18-19, 2026-04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22.</w:t>
        <w:tab/>
      </w:r>
      <w:hyperlink r:id="rId27">
        <w:r>
          <w:rPr>
            <w:color w:val="2A78D6"/>
            <w:sz w:val="17"/>
          </w:rPr>
          <w:t xml:space="preserve">SEB Sector Policy on Shipping (2026-04-23), p. 7, 2026-04-23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23.</w:t>
        <w:tab/>
      </w:r>
      <w:hyperlink r:id="rId13">
        <w:r>
          <w:rPr>
            <w:color w:val="2A78D6"/>
            <w:sz w:val="17"/>
          </w:rPr>
          <w:t xml:space="preserve">AS Tallinna Sadam - Interim report Q2 and 6M 2026, p. 6, 2026-08-10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24.</w:t>
        <w:tab/>
      </w:r>
      <w:hyperlink r:id="rId27">
        <w:r>
          <w:rPr>
            <w:color w:val="2A78D6"/>
            <w:sz w:val="17"/>
          </w:rPr>
          <w:t xml:space="preserve">SEB Sector Policy on Shipping (2026-04-23), p. 5-6, 2026-04-23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25.</w:t>
        <w:tab/>
      </w:r>
      <w:hyperlink r:id="rId30">
        <w:r>
          <w:rPr>
            <w:color w:val="2A78D6"/>
            <w:sz w:val="17"/>
          </w:rPr>
          <w:t xml:space="preserve">SEB Social and Human Rights Policy (2026-04-28), p. 8, 2026-04-28</w:t>
        </w:r>
      </w:hyperlink>
    </w:p>
    <w:p>
      <w:pPr>
        <w:spacing w:before="40" w:after="60"/>
      </w:pPr>
      <w:r>
        <w:rPr>
          <w:b w:val="0"/>
          <w:color w:val="5F6B7A"/>
          <w:sz w:val="16"/>
        </w:rPr>
        <w:t>Report prepared from public sources. Figures are as published by the issuer; small numbers next to the text point to the source list.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20" w:right="1134" w:bottom="1020" w:left="1134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C9D3DE" w:space="4"/>
      </w:pBdr>
      <w:tabs>
        <w:tab w:pos="9638" w:val="right"/>
      </w:tabs>
    </w:pPr>
    <w:r>
      <w:rPr>
        <w:b w:val="0"/>
        <w:color w:val="5F6B7A"/>
        <w:sz w:val="16"/>
      </w:rPr>
      <w:t>Port of Tallinn · 6M2026 · 2026-10-22</w:t>
      <w:tab/>
    </w:r>
    <w:r>
      <w:rPr>
        <w:b/>
        <w:color w:val="1F4E79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C9D3DE" w:space="4"/>
      </w:pBdr>
      <w:tabs>
        <w:tab w:pos="9638" w:val="right"/>
      </w:tabs>
    </w:pPr>
    <w:r>
      <w:rPr>
        <w:b w:val="0"/>
        <w:color w:val="5F6B7A"/>
        <w:sz w:val="16"/>
      </w:rPr>
      <w:t>Port of Tallinn · 6M2026 · 2026-10-22</w:t>
      <w:tab/>
    </w:r>
    <w:r>
      <w:rPr>
        <w:b/>
        <w:color w:val="1F4E79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color="C9D3DE" w:space="4"/>
      </w:pBdr>
      <w:tabs>
        <w:tab w:pos="9638" w:val="right"/>
      </w:tabs>
    </w:pPr>
    <w:r>
      <w:rPr>
        <w:b/>
        <w:color w:val="1F4E79"/>
        <w:sz w:val="16"/>
      </w:rPr>
      <w:t>Port of Tallinn</w:t>
    </w:r>
    <w:r>
      <w:rPr>
        <w:b w:val="0"/>
        <w:color w:val="5F6B7A"/>
        <w:sz w:val="16"/>
      </w:rPr>
      <w:tab/>
      <w:t>Issuer review · 6M2026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www.ts.ee/en/investor/stock-exchange-info/" TargetMode="External"/><Relationship Id="rId13" Type="http://schemas.openxmlformats.org/officeDocument/2006/relationships/hyperlink" Target="https://ml-eu.globenewswire.com/Resource/Download/bfd79dd4-0a64-4f1a-bf21-dcb2548a7586" TargetMode="External"/><Relationship Id="rId14" Type="http://schemas.openxmlformats.org/officeDocument/2006/relationships/hyperlink" Target="https://www.inderes.fi/en/releases/as-tallinna-sadam-financial-results-for-2026-q2-and-6-months" TargetMode="External"/><Relationship Id="rId15" Type="http://schemas.openxmlformats.org/officeDocument/2006/relationships/hyperlink" Target="https://www.err.ee/1609405501/tallinna-sadama-kaasuses-oigeksmoistetute-kaitsjad-vaidlustasid-kohtuotsuse" TargetMode="External"/><Relationship Id="rId16" Type="http://schemas.openxmlformats.org/officeDocument/2006/relationships/hyperlink" Target="https://www.err.ee/1609408312/riigiprokuratuur-vaidlustas-tallinna-sadama-kohtuotsuse" TargetMode="External"/><Relationship Id="rId17" Type="http://schemas.openxmlformats.org/officeDocument/2006/relationships/hyperlink" Target="https://www.ts.ee/wp-content/uploads/2026/02/2025-Q4-Webinar.pdf" TargetMode="External"/><Relationship Id="rId18" Type="http://schemas.openxmlformats.org/officeDocument/2006/relationships/image" Target="media/image1.png"/><Relationship Id="rId19" Type="http://schemas.openxmlformats.org/officeDocument/2006/relationships/hyperlink" Target="https://www.ts.ee/wp-content/uploads/2026/04/Sustainability_Report_2025.pdf#page=19" TargetMode="External"/><Relationship Id="rId20" Type="http://schemas.openxmlformats.org/officeDocument/2006/relationships/hyperlink" Target="https://www.ts.ee/wp-content/uploads/2019/12/Q2-2026-webinar-ENG.pdf" TargetMode="External"/><Relationship Id="rId21" Type="http://schemas.openxmlformats.org/officeDocument/2006/relationships/hyperlink" Target="https://news.google.com/rss/articles/CBMiowFBVV95cUxNR1BLb1NmUGtHTGxZckFKbWxIU2Q0MWMxSktOMk16WFNySHFRNW1SZ181WlVET05NM1NzcHBDZUJ6bG1ROEpiZldDbTNLQmd2Y293aEo0dWplWjUxM25RNEN1VE95eFNEZ3BQWjU3aWJqV0doeUx5SUxtcUxXMEJIRVluU1NqQmt2Z3lFRmltbHBtS2o2amh2SU90UW11MUNfWnpV?oc=5" TargetMode="External"/><Relationship Id="rId22" Type="http://schemas.openxmlformats.org/officeDocument/2006/relationships/hyperlink" Target="https://news.google.com/rss/articles/CBMitAFBVV95cUxNMUs2N2xkNk1IeFppTEduZDA4Tkk0NWh5NjZJMTJidjBhOU03c014U3NpZy1XX1FvQlBrNVB0NmFpOWVLYnp1b0VJVndaRW5aUmc3WVVLcnhYQ0dYenVJaHNHVG03M0ZjOUlacGpmQ3RSNDdOclRvZFhjN0s1Wk10TzRocTZKN1Z0c0tuWjR4bnVRS0M4LU9pX2pOa1ozN201QVEzN2liUjM5YjdVZ0M0cS16WEY?oc=5" TargetMode="External"/><Relationship Id="rId23" Type="http://schemas.openxmlformats.org/officeDocument/2006/relationships/hyperlink" Target="https://news.google.com/rss/articles/CBMi0gFBVV95cUxPdVYzWFNwZFg0U0JMcHVFZlZVVU1wV0cycmh6SW1iX3BlMk1KNzhOd3QwRjlyYm14LUs2Zjg3THNYdG1NNEgyRE1ZWUdvaGtHZ2hRalRuZTZJaGlmcnlVOGpwblhzUVpfSDVEOHhEbDg0LVZmNkRmNkpKcVBCbGZPcU5rT2pERk9CS2dqbzNWSFY1elVVQkxJUjVKdnBCUmY4MF9xaFFiMDlRaEZQOHhabXlYVS1QRi1rNWUtRENZNlBySnpFN2lwMkRRMGt5d2JCWHc?oc=5" TargetMode="External"/><Relationship Id="rId24" Type="http://schemas.openxmlformats.org/officeDocument/2006/relationships/hyperlink" Target="https://www.ts.ee/wp-content/uploads/2026/04/Sustainability_Report_2025.pdf" TargetMode="External"/><Relationship Id="rId25" Type="http://schemas.openxmlformats.org/officeDocument/2006/relationships/hyperlink" Target="https://www.ts.ee/wp-content/uploads/2026/04/Sustainability_Report_2025.pdf#page=22" TargetMode="External"/><Relationship Id="rId26" Type="http://schemas.openxmlformats.org/officeDocument/2006/relationships/hyperlink" Target="https://sebgroup.com/sustainability/our-sustainability-strategy/policies" TargetMode="External"/><Relationship Id="rId27" Type="http://schemas.openxmlformats.org/officeDocument/2006/relationships/hyperlink" Target="https://webapp.sebgroup.com/mb/mblib.nsf/dld/C882785365792AC9C12587D700312ACF?opendocument" TargetMode="External"/><Relationship Id="rId28" Type="http://schemas.openxmlformats.org/officeDocument/2006/relationships/hyperlink" Target="https://webapp.sebgroup.com/mb/mblib.nsf/dld/B1113F0C7B3136E4C12587D70030204B?opendocument" TargetMode="External"/><Relationship Id="rId29" Type="http://schemas.openxmlformats.org/officeDocument/2006/relationships/hyperlink" Target="https://www.ts.ee/wp-content/uploads/2026/04/Sustainability_Report_2025.pdf#page=18" TargetMode="External"/><Relationship Id="rId30" Type="http://schemas.openxmlformats.org/officeDocument/2006/relationships/hyperlink" Target="https://webapp.sebgroup.com/mb/mblib.nsf/dld/B6C87DACA17DDE3CC1258B5C006292E0?opendocu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