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Rīgas ūdens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- 2026-11-27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Rygos savivaldybei priklausanti vandens įmonė su Moody's A3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I pusm. EBITDA 19,7 mln. EUR (+25 %), grynoji skola / EBITDA 2,6x, nuosavo kapitalo dalis 71 %, skolos sąlygos vykdomos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19,7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25,5 %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89,9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42,2 %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 / 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2,6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Nuosavo kapitalo dalis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71,0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1,4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Skolos aptarnavimo koeficientas (DSCR)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19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2026-03-25 Rygos taryba nusprendė išlaikyti tiesioginę įmonės nuosavybę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80,3 mln. EUR, EBITDA 31,0 mln. EUR, pelnas 0,6 mln. EUR; 2024 m. nuostolis 18,3 mln. EUR dėl turto perkainojimo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536,3 mln. EUR, turtas 755,3 mln. EUR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viduryje panaudota 30,88 %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2025 m. emisijos paklausa – 228 %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– 3,9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20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LV),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5F6B7A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A1A1A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5F6B7A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Vandens tiekimas ir nuotekų valymas – veiklos išskirtuose sektoriuose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aplinkosaugos baudų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 (riba 2 %)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Dėl kvapų Vārnukrogs rajone 2025 m. gruodį uždengta dumblo saugykla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Žalioji obligacija pagal ES standartą, lėšos – nuotekų valymui (94 %) ir saulės elektrinėms (5 %)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valymo bandomasis projektas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ES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Įmonė pati nurodo poveikio sritis: šiltnamio dujų nuotėkis, valymas per liūtis, mikroteršalai, vandens nuostoliai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 xml:space="preserve"> ir aplinkosaugos politika (klimatas, gamta, vanduo)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žaliųjų obligacijų standartas ir išorinė patikra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Nuotekų valymo kokybė atitinka ribas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Atskleidžiami reikšmingi poveikiai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reguliuojama savivaldybės įmonė su žaliųjų investicijų programa.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Iki 2030 m. renovuoti 90 km vandentiekio ir 55 km kanalizacijos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Žalioji obligacija pagal ES standartą, investicijos į nuotekų valymą.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0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4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Rīgas ūdens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Rīgas ūdens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Rīgas ūdens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hyperlink" Target="https://nasdaqbaltic.com/market/upload/reports/h2o/2026_q2_en.pdf#page=17" TargetMode="External"/><Relationship Id="rId14" Type="http://schemas.openxmlformats.org/officeDocument/2006/relationships/hyperlink" Target="https://nasdaqbaltic.com/market/upload/reports/h2o/2026_q2_en.pdf#page=18" TargetMode="External"/><Relationship Id="rId15" Type="http://schemas.openxmlformats.org/officeDocument/2006/relationships/hyperlink" Target="https://nasdaqbaltic.com/market/upload/reports/h2o/2026_q2_en.pdf#page=12" TargetMode="External"/><Relationship Id="rId16" Type="http://schemas.openxmlformats.org/officeDocument/2006/relationships/hyperlink" Target="https://nasdaqbaltic.com/market/upload/reports/h2o/2025_ar_en.pdf#page=28" TargetMode="External"/><Relationship Id="rId17" Type="http://schemas.openxmlformats.org/officeDocument/2006/relationships/hyperlink" Target="https://nasdaqbaltic.com/market/upload/reports/h2o/2025_ar_en.pdf#page=17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nasdaqbaltic.com/market/upload/reports/h2o/2026_q2_en.pdf#page=10" TargetMode="External"/><Relationship Id="rId20" Type="http://schemas.openxmlformats.org/officeDocument/2006/relationships/hyperlink" Target="https://nasdaqbaltic.com/market/upload/reports/h2o/2025_ar_en.pdf#page=20" TargetMode="External"/><Relationship Id="rId21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2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3" Type="http://schemas.openxmlformats.org/officeDocument/2006/relationships/hyperlink" Target="https://nasdaqbaltic.com/market/upload/reports/h2o/2026_q2_en.pdf#page=15" TargetMode="External"/><Relationship Id="rId24" Type="http://schemas.openxmlformats.org/officeDocument/2006/relationships/hyperlink" Target="https://nasdaqbaltic.com/market/upload/reports/h2o/2025_ar_en.pdf#page=5" TargetMode="External"/><Relationship Id="rId25" Type="http://schemas.openxmlformats.org/officeDocument/2006/relationships/hyperlink" Target="https://nasdaqbaltic.com/market/upload/reports/h2o/2025_ar_en.pdf#page=48" TargetMode="External"/><Relationship Id="rId26" Type="http://schemas.openxmlformats.org/officeDocument/2006/relationships/hyperlink" Target="https://sebgroup.com/sustainability/our-sustainability-strategy/policies" TargetMode="External"/><Relationship Id="rId27" Type="http://schemas.openxmlformats.org/officeDocument/2006/relationships/hyperlink" Target="https://webapp.sebgroup.com/mb/mblib.nsf/dld/CBAA255D7EC51026C1257C28002FB11A?opendocument" TargetMode="External"/><Relationship Id="rId28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