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Luminor Bank – Emitento apžvalga</w:t>
      </w:r>
    </w:p>
    <w:p>
      <w:pPr>
        <w:spacing w:after="0"/>
      </w:pPr>
      <w:r>
        <w:rPr>
          <w:b/>
        </w:rPr>
        <w:t xml:space="preserve">Analizės data: </w:t>
      </w:r>
      <w:r>
        <w:t>2026-10-22</w:t>
      </w:r>
    </w:p>
    <w:p>
      <w:pPr>
        <w:spacing w:after="0"/>
      </w:pPr>
      <w:r>
        <w:rPr>
          <w:b/>
        </w:rPr>
        <w:t xml:space="preserve">Laikotarpis: </w:t>
      </w:r>
      <w:r>
        <w:t>1H2026</w:t>
      </w:r>
    </w:p>
    <w:p>
      <w:pPr>
        <w:spacing w:after="0"/>
      </w:pPr>
      <w:r>
        <w:rPr>
          <w:b/>
        </w:rPr>
        <w:t xml:space="preserve">Reitingas / Rating: </w:t>
      </w:r>
      <w:r>
        <w:t>Moody's - affirmed after the OTP announcement (grade to be confirmed; 2025 annual report refers to 'current A2 rating') [L1 p.15; L2 p.9]</w:t>
      </w:r>
    </w:p>
    <w:p>
      <w:pPr>
        <w:spacing w:after="0"/>
      </w:pPr>
      <w:r>
        <w:rPr>
          <w:b/>
        </w:rPr>
        <w:t xml:space="preserve">Kita ataskaita / Next report: </w:t>
      </w:r>
      <w:r>
        <w:t>3Q 2026 interim report - expected November 2026</w:t>
      </w:r>
    </w:p>
    <w:p>
      <w:pPr>
        <w:pStyle w:val="Heading2"/>
      </w:pPr>
      <w:r>
        <w:rPr>
          <w:color w:val="1F4E79"/>
        </w:rPr>
        <w:t>Turimos priemonės ir ISIN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XS2633112565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Luminor Bank 7.75% 2027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7"/>
              </w:rPr>
              <w:t>7.750 %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7"/>
              </w:rPr>
              <w:t>2027-06-08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XS3079969104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Luminor Bank 3.551% 2029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7"/>
              </w:rPr>
              <w:t>3.551 %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7"/>
              </w:rPr>
              <w:t>2029-06-12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XS2888497067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Luminor Bank 4.042% 2028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7"/>
              </w:rPr>
              <w:t>4.042 %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7"/>
              </w:rPr>
              <w:t>2028-09-10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XS2982074861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Luminor Bank 7.375% perpetual (AT1?)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7"/>
              </w:rPr>
              <w:t>7.375 %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neterminuota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⚠ Perpetual; annual report mentions inaugural EUR 150m AT1 in 2025 - link to this ISIN not confirmed</w:t>
            </w:r>
          </w:p>
        </w:tc>
      </w:tr>
    </w:tbl>
    <w:p/>
    <w:p>
      <w:pPr>
        <w:pStyle w:val="Heading2"/>
      </w:pPr>
      <w:r>
        <w:rPr>
          <w:color w:val="1F4E79"/>
        </w:rPr>
        <w:t>Pagrindiniai rodikliai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Šaltiniai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Grynasis pelnas, mln. EUR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72,0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p.5; L2 p.7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Grynosios palūkanų pajamos,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427,3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214,4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p.16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Visos veiklos pajamos,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544,7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271,7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p.16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Sąnaudų ir pajamų santykis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64,7 %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65,5 %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p.16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ROE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8,6 %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7,7 %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p.16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Rizikos kaina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0,01 %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0,14 %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p.16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Grynoji palūkanų marža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2,71 %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2,70 %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p.16; L2 p.8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Paskolos klientams,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11 491,4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11 903,2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Klientų indėliai, mln. EUR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11 510,7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12 275,5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CET1 rodiklis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20,2 %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19,6 %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L1; L2 p.8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Bendrasis kapitalo rodiklis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24,6 %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23,7 %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L1; L2 p.8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Sverto rodiklis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10,0 %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9,9 %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L1; L2 p.8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MREL (% TREA)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35,54 %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36,34 %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L1; L2 p.8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LCR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174,6 %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187,0 %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L1; L2 p.8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NSFR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134,1 %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142,3 %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L1; L2 p.8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Neveiksnių paskolų dalis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2,0 %</w:t>
            </w:r>
          </w:p>
        </w:tc>
        <w:tc>
          <w:tcPr>
            <w:tcW w:type="dxa" w:w="1191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2,1 %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L1; L2 p.8</w:t>
            </w:r>
          </w:p>
        </w:tc>
      </w:tr>
    </w:tbl>
    <w:p/>
    <w:p>
      <w:r>
        <w:rPr>
          <w:i/>
          <w:sz w:val="16"/>
        </w:rPr>
        <w:t>* – reikia patikrinti originale / verify in source;  ᶜ – apskaičiuota įrankio / calculated by the tool</w:t>
      </w:r>
    </w:p>
    <w:p>
      <w:pPr>
        <w:pStyle w:val="Heading2"/>
      </w:pPr>
      <w:r>
        <w:rPr>
          <w:color w:val="1F4E79"/>
        </w:rPr>
        <w:t>Trumpa santrauka</w:t>
      </w:r>
    </w:p>
    <w:p>
      <w:pPr>
        <w:pStyle w:val="ListBullet"/>
        <w:spacing w:after="40"/>
      </w:pPr>
      <w:r>
        <w:t>1H 2026 grynasis pelnas 72,0 mln. EUR (1H 2025 – 91,6 mln.), II ketv. – 37,4 mln. EUR (46,2 mln.); ROE 7,7 % [L1 p.5, p.16].</w:t>
      </w:r>
    </w:p>
    <w:p>
      <w:pPr>
        <w:pStyle w:val="ListBullet"/>
        <w:spacing w:after="40"/>
      </w:pPr>
      <w:r>
        <w:t>Kapitalas ir likvidumas aukšti: CET1 19,6 %, bendras kapitalas 23,7 %, MREL 36,34 % TREA (reikalavimas 23,69 % + buferiai), LCR 187,0 %, NSFR 142,3 % [L1].</w:t>
      </w:r>
    </w:p>
    <w:p>
      <w:pPr>
        <w:pStyle w:val="ListBullet"/>
        <w:spacing w:after="40"/>
      </w:pPr>
      <w:r>
        <w:t>Savininko keitimas: 2026-07-20 paskelbta, kad OTP Bank įsigis 100 % Luminor Holding akcijų iš Blackstone konsorciumo ir DNB; reikia priežiūros institucijų leidimų. Po pranešimo Moody's patvirtino reitingą ir perspektyvą [L1 p.4, p.15].</w:t>
      </w:r>
    </w:p>
    <w:p>
      <w:pPr>
        <w:pStyle w:val="ListBullet"/>
        <w:spacing w:after="40"/>
      </w:pPr>
      <w:r>
        <w:t>Priežiūros institucija (ECB, 2026-07-17) leido sumažinti CET1 kapitalą 200,0 mln. EUR; tikimasi IV ketv. [L1 p.4, p.8].</w:t>
      </w:r>
    </w:p>
    <w:p>
      <w:pPr>
        <w:pStyle w:val="ListBullet"/>
        <w:spacing w:after="40"/>
      </w:pPr>
      <w:r>
        <w:t>Finansavimas: 1H 2026 išpirkta 300 mln. EUR pirmaeilė obligacija (MS+4,471 %) ir išleista pirmoji 500 mln. EUR senior non-preferred obligacija (MS+1,28 %) [L1].</w:t>
      </w:r>
    </w:p>
    <w:p>
      <w:pPr>
        <w:pStyle w:val="Heading2"/>
      </w:pPr>
      <w:r>
        <w:rPr>
          <w:color w:val="1F4E79"/>
        </w:rPr>
        <w:t>Veiklos apžvalga</w:t>
      </w:r>
    </w:p>
    <w:p>
      <w:pPr>
        <w:pStyle w:val="ListBullet"/>
        <w:spacing w:after="40"/>
      </w:pPr>
      <w:r>
        <w:t>Paskolos klientams 11 903,2 mln. EUR (+3,6 % nuo 2025 m. pab.), indėliai 12 275,5 mln. EUR (+6,6 %; pokyčiai apskaičiuoti įrankio) [L1].</w:t>
      </w:r>
    </w:p>
    <w:p>
      <w:pPr>
        <w:pStyle w:val="ListBullet"/>
        <w:spacing w:after="40"/>
      </w:pPr>
      <w:r>
        <w:t>Grynosios palūkanų pajamos 1H – 214,4 mln. EUR; grynoji palūkanų marža 2,70 % (2025 m. – 2,71 %) [L1 p.16; L2 p.8].</w:t>
      </w:r>
    </w:p>
    <w:p>
      <w:pPr>
        <w:pStyle w:val="ListBullet"/>
        <w:spacing w:after="40"/>
      </w:pPr>
      <w:r>
        <w:t>Sąnaudų / pajamų santykis 65,5 % (2025 m. – 64,7 %); rizikos kaina 0,14 % (0,01 %); neveiksnios paskolos 2,1 % (2,0 %) [L1 p.16].</w:t>
      </w:r>
    </w:p>
    <w:p>
      <w:pPr>
        <w:pStyle w:val="ListBullet"/>
        <w:spacing w:after="40"/>
      </w:pPr>
      <w:r>
        <w:t>1H 2026 išmokėta 74,0 mln. EUR dividendų už 2025 m. [L1].</w:t>
      </w:r>
    </w:p>
    <w:p>
      <w:pPr>
        <w:pStyle w:val="Heading2"/>
      </w:pPr>
      <w:r>
        <w:rPr>
          <w:color w:val="1F4E79"/>
        </w:rPr>
        <w:t>Finansai</w:t>
      </w:r>
    </w:p>
    <w:p>
      <w:pPr>
        <w:pStyle w:val="ListBullet"/>
        <w:spacing w:after="40"/>
      </w:pPr>
      <w:r>
        <w:t>2025 m. grynasis pelnas 157,7 mln. EUR (2024 m. – 202,2 mln., −22,0 %), ROE 8,6 %, CET1 20,2 %, bendras kapitalas 24,6 % [L2 p.7-8].</w:t>
      </w:r>
    </w:p>
    <w:p>
      <w:pPr>
        <w:pStyle w:val="ListBullet"/>
        <w:spacing w:after="40"/>
      </w:pPr>
      <w:r>
        <w:t>2025 m. duomenys II ketv. ataskaitoje perskaičiuoti: grynosios palūkanų pajamos 427,3 mln. EUR (metinėje – 419,8 mln.), visos pajamos 544,7 mln. (537,2 mln.) [L1 p.16; L2].</w:t>
      </w:r>
    </w:p>
    <w:p>
      <w:pPr>
        <w:pStyle w:val="Heading2"/>
      </w:pPr>
      <w:r>
        <w:rPr>
          <w:color w:val="1F4E79"/>
        </w:rPr>
        <w:t>Ankstesni planai ir rezultatai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Šaltiniai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1H 2026 išleista 500 mln. EUR SNP; Moody's reitingą patvirtino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Įvykdyta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L2 p.9; L1 p.15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Sumažinti CET1 kapitalą 200,0 mln. EUR (gautas leidimas 2026-07)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Numatyta IV ketv. 2026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Dar vykdoma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L1 p.4, p.8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2026-07-20 paskelbtas pardavimas OTP Bank (100 %), laukiama leidimų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Pakeista</w:t>
            </w:r>
          </w:p>
        </w:tc>
        <w:tc>
          <w:tcPr>
            <w:tcW w:type="dxa" w:w="1474"/>
          </w:tcPr>
          <w:p>
            <w:r/>
            <w:r>
              <w:rPr>
                <w:sz w:val="17"/>
              </w:rPr>
              <w:t>L2 p.5; L1 p.4</w:t>
            </w:r>
          </w:p>
        </w:tc>
      </w:tr>
    </w:tbl>
    <w:p/>
    <w:p>
      <w:pPr>
        <w:pStyle w:val="Heading2"/>
      </w:pPr>
      <w:r>
        <w:rPr>
          <w:color w:val="1F4E79"/>
        </w:rPr>
        <w:t>Informacija investuotojui ir išvados</w:t>
      </w:r>
    </w:p>
    <w:p>
      <w:pPr>
        <w:pStyle w:val="ListBullet"/>
        <w:spacing w:after="40"/>
      </w:pPr>
      <w:r>
        <w:t>Turimos priemonės: trys terminuotos obligacijos (7,75 % 2027, 4,042 % 2028, 3,551 % 2029) ir neterminuota 7,375 % obligacija. Rangas (senior / SNP / AT1), sumos ir pirkimo datos emitento sąraše nenurodyti – patikrinti galutines sąlygas (Final Terms) [L3].</w:t>
      </w:r>
    </w:p>
    <w:p>
      <w:pPr>
        <w:pStyle w:val="ListBullet"/>
        <w:spacing w:after="40"/>
      </w:pPr>
      <w:r>
        <w:t>Obligacijų turėtojams: kapitalo ir MREL atsargos gerokai viršija reikalavimus, likvidumas padidėjo. 200 mln. EUR CET1 sumažinimas atsargą sumažins; bankas poveikio CET1 rodikliui šaltiniuose nenurodo [L1].</w:t>
      </w:r>
    </w:p>
    <w:p>
      <w:pPr>
        <w:pStyle w:val="ListBullet"/>
        <w:spacing w:after="40"/>
      </w:pPr>
      <w:r>
        <w:t>OTP sandoris: patikrinti obligacijų sąlygas dėl kontrolės pasikeitimo ir naujo savininko reitingo poveikį. XS3079969104 – emitento sąraše išpirkimas nurodytas 2028-06-12, pavadinime – 2029 (galimai pirkimo opcionas 2028) [L1; L3].</w:t>
      </w:r>
    </w:p>
    <w:p>
      <w:pPr>
        <w:pStyle w:val="ListBullet"/>
        <w:spacing w:after="40"/>
      </w:pPr>
      <w:r>
        <w:t>Išvada: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pStyle w:val="Heading2"/>
      </w:pPr>
      <w:r>
        <w:rPr>
          <w:color w:val="1F4E79"/>
        </w:rPr>
        <w:t>ESG klausimynas</w:t>
      </w:r>
    </w:p>
    <w:p>
      <w:r>
        <w:t>SEB: Financial sector - no dedicated SEB sector policy (general rules applied); Social and Human Rights Policy (turinys nepatikrintas / not verified); Anti-corruption, Code of Conduct, Tax (turinys nepatikrintas / not verified); Environmental Policy on Climate, Nature and Water (turinys nepatikrintas / not verified)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Klausimas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Įrodymas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Išimčių patikra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Anglies (kasyba ar anglies elektrinės) dalis pajamose mažesnė nei 5 %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Banko skolinimo iškastiniam kurui apribojimai automatiškai nerasti (luminor.ee tvarumo puslapiai nenuskaitomi).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naujos naftos ir dujų žvalgybos / netradicinės naftos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Žr. aukščiau – reikia rankinės patikros.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sąsajų su kontroversiškais ginklais, tabaku ar lošimais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Nerasta informacijos apie skolinimo apribojimus ginklų, tabako ar lošimų sektoriams.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Nėra rimtų neišspręstų skandalų (korupcija, žmogaus teisės, aplinka)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Didelių 2026 m. skandalų greitoje paieškoje nerasta (2026-10-22). Patikrinti PPTP/AML istoriją.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ESG integravimas / teigiama atranka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Emisijų mažinimo tikslai (Paryžiaus / SBTi) ir pereinamojo laikotarpio planas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Finansuojamų emisijų tikslai ir NZBA įsipareigojimas automatiškai nerasti.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Tvarumo ataskaitos (CSRD/ESRS ar GRI), atskleistos 1–3 apimties emisijos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Tvarumo informacija turėtų būti 2025 m. metinėje ataskaitoje – patikrinti [L2].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Teigiamas indėlis (žaliosios pajamos / investicijos, ES taksonomija, žaliosios obligacijos)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Žaliųjų paskolų / obligacijų dalis nerasta.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Valdysena – nepriklausoma valdyba, antikorupcijos ir pranešėjų politikos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Savininko keitimas (OTP) gali pakeisti valdymą; reikia peržiūrėti po sandorio.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Socialiniai aspektai – sauga, darbo ir žmogaus teisių politikos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Automatiškai netikrinta.</w:t>
            </w:r>
          </w:p>
        </w:tc>
      </w:tr>
      <w:tr>
        <w:tc>
          <w:tcPr>
            <w:tcW w:type="dxa" w:w="5216"/>
            <w:gridSpan w:val="3"/>
            <w:shd w:val="clear" w:color="auto" w:fill="DCE6F1"/>
          </w:tcPr>
          <w:p>
            <w:r/>
            <w:r>
              <w:rPr>
                <w:b/>
              </w:rPr>
              <w:t>Įsitraukimas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Klausimai įsitraukimui su emitentu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Siūlomi klausimai: finansuojamų emisijų atskleidimas, iškastinio kuro skolinimo politika, ESG politikos po OTP įsigijimo.</w:t>
            </w:r>
          </w:p>
        </w:tc>
      </w:tr>
    </w:tbl>
    <w:p/>
    <w:p>
      <w:r>
        <w:t>ESG išvada: SEB neturi atskiros finansų sektoriaus politikos – taikomos bendros taisyklės. Automatiškai rasta per mažai įrodymų; dauguma punktų – rankinei peržiūrai (2025 m. metinė ataskaita).</w:t>
      </w:r>
    </w:p>
    <w:p>
      <w:pPr>
        <w:pStyle w:val="Heading2"/>
      </w:pPr>
      <w:r>
        <w:rPr>
          <w:color w:val="1F4E79"/>
        </w:rPr>
        <w:t>Sankcijos ir žiniasklaida (tikrina analitikas)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Klausimas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  <w:tc>
          <w:tcPr>
            <w:tcW w:type="dxa" w:w="5216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Sankcijų patikra (atlieka analitikas vidinėmis priemonėmis)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☐ Reikia peržiūrėti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Tikrina analitikas vidinėmis priemonėmis. Pastaba: naujas savininkas – OTP Bank (Vengrija).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Neigiamos žiniasklaidos patikra (įrankis pateikia radinius, analitikas patvirtina)</w:t>
            </w:r>
          </w:p>
        </w:tc>
        <w:tc>
          <w:tcPr>
            <w:tcW w:type="dxa" w:w="1587"/>
          </w:tcPr>
          <w:p>
            <w:r/>
            <w:r>
              <w:rPr>
                <w:sz w:val="17"/>
              </w:rPr>
              <w:t>Nerasta</w:t>
            </w:r>
          </w:p>
        </w:tc>
        <w:tc>
          <w:tcPr>
            <w:tcW w:type="dxa" w:w="5216"/>
          </w:tcPr>
          <w:p>
            <w:r/>
            <w:r>
              <w:rPr>
                <w:sz w:val="17"/>
              </w:rPr>
              <w:t>Neigiamų naujienų greitoje paieškoje (EN; 2026-10-22) nerasta. Savaitinė paieška – dashboard „Naujienos“.</w:t>
            </w:r>
          </w:p>
        </w:tc>
      </w:tr>
    </w:tbl>
    <w:p/>
    <w:p>
      <w:pPr>
        <w:pStyle w:val="Heading2"/>
      </w:pPr>
      <w:r>
        <w:rPr>
          <w:color w:val="1F4E79"/>
        </w:rPr>
        <w:t>Šaltiniai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481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L1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Luminor Bank - Interim report 2Q 2026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2026-08-11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https://luminor.lv/sites/default/files/docs/finansu_parskati/luminor_bank_interim_report_2q26.pdf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L2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Luminor Bank - Annual report 2025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https://luminor.lv/sites/default/files/docs/finansu_parskati/luminor_bank_annual_report_2025-lv.pdf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L3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Luminor - Primary placements (bond list)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2026-09-28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https://luminor.lv/en/placements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L4</w:t>
            </w:r>
          </w:p>
        </w:tc>
        <w:tc>
          <w:tcPr>
            <w:tcW w:type="dxa" w:w="3118"/>
          </w:tcPr>
          <w:p>
            <w:r/>
            <w:r>
              <w:rPr>
                <w:sz w:val="17"/>
              </w:rPr>
              <w:t>Luminor - Financial reports</w:t>
            </w:r>
          </w:p>
        </w:tc>
        <w:tc>
          <w:tcPr>
            <w:tcW w:type="dxa" w:w="1134"/>
          </w:tcPr>
          <w:p>
            <w:r/>
            <w:r>
              <w:rPr>
                <w:sz w:val="17"/>
              </w:rPr>
              <w:t>2026-10-22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https://luminor.lv/en/financial-reports</w:t>
            </w:r>
          </w:p>
        </w:tc>
      </w:tr>
    </w:tbl>
    <w:p/>
    <w:p>
      <w:r>
        <w:rPr>
          <w:i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