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Port of Tallinn – Emitento apžvalga</w:t>
      </w:r>
    </w:p>
    <w:p>
      <w:pPr>
        <w:spacing w:after="0"/>
      </w:pPr>
      <w:r>
        <w:rPr>
          <w:b/>
        </w:rPr>
        <w:t xml:space="preserve">Analizės data: </w:t>
      </w:r>
      <w:r>
        <w:t>2026-10-22</w:t>
      </w:r>
    </w:p>
    <w:p>
      <w:pPr>
        <w:spacing w:after="0"/>
      </w:pPr>
      <w:r>
        <w:rPr>
          <w:b/>
        </w:rPr>
        <w:t xml:space="preserve">Laikotarpis: </w:t>
      </w:r>
      <w:r>
        <w:t>6M2026</w:t>
      </w:r>
    </w:p>
    <w:p>
      <w:pPr>
        <w:spacing w:after="0"/>
      </w:pPr>
      <w:r>
        <w:rPr>
          <w:b/>
        </w:rPr>
        <w:t xml:space="preserve">Reitingas / Rating: </w:t>
      </w:r>
      <w:r>
        <w:t>Credit rating not found in public sources reviewed - check [P5]</w:t>
      </w:r>
    </w:p>
    <w:p>
      <w:pPr>
        <w:spacing w:after="0"/>
      </w:pPr>
      <w:r>
        <w:rPr>
          <w:b/>
        </w:rPr>
        <w:t xml:space="preserve">Kita ataskaita / Next report: </w:t>
      </w:r>
      <w:r>
        <w:t>Q3 2026 results - expected November 2026</w:t>
      </w:r>
    </w:p>
    <w:p>
      <w:pPr>
        <w:pStyle w:val="Heading2"/>
      </w:pPr>
      <w:r>
        <w:rPr>
          <w:color w:val="1F4E79"/>
        </w:rPr>
        <w:t>Turimos priemonės ir ISIN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EE3100021635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 Tallinna Sadam ordinary share (TSM1T)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akcija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Republic of Estonia holds 67.03%</w:t>
            </w:r>
          </w:p>
        </w:tc>
      </w:tr>
    </w:tbl>
    <w:p/>
    <w:p>
      <w:pPr>
        <w:pStyle w:val="Heading2"/>
      </w:pPr>
      <w:r>
        <w:rPr>
          <w:color w:val="1F4E79"/>
        </w:rPr>
        <w:t>Pagrindiniai rodikliai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Pajamos,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59,3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Koreguota EBITDA,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53,1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56,5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29,8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25,8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Koreguotos EBITDA marža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51,5 %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43,5 %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Veiklos pelnas,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29,1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32,7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18,3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13,6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Grynasis pelnas,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6,0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Investicijos,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38,8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33,2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12,0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3,5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Grynoji skola,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145,8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p.4; P3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Grynoji skola / EBITDA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2,51xᶜ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2,78xᶜ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61,2 %ᶜ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59,8 %ᶜ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Krovinių kiekis, mln. t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6,83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6,48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Keleiviai, mln.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3,59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Dividendai akcijai,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0,073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P1 p.14</w:t>
            </w:r>
          </w:p>
        </w:tc>
      </w:tr>
    </w:tbl>
    <w:p/>
    <w:p>
      <w:r>
        <w:rPr>
          <w:i/>
          <w:sz w:val="16"/>
        </w:rPr>
        <w:t>* – reikia patikrinti originale / verify in source;  ᶜ – apskaičiuota įrankio / calculated by the tool</w:t>
      </w:r>
    </w:p>
    <w:p>
      <w:pPr>
        <w:pStyle w:val="Heading2"/>
      </w:pPr>
      <w:r>
        <w:rPr>
          <w:color w:val="1F4E79"/>
        </w:rPr>
        <w:t>Trumpa santrauka</w:t>
      </w:r>
    </w:p>
    <w:p>
      <w:pPr>
        <w:pStyle w:val="ListBullet"/>
        <w:spacing w:after="40"/>
      </w:pPr>
      <w:r>
        <w:t>6 mėn. pajamos 59,3 mln. EUR (+2,4 %), koreguota EBITDA 25,8 mln. EUR (−13,5 %), marža 43,5 % (51,5 %), grynasis pelnas 6,0 mln. EUR (−41,7 %) [P1 p.4; P2].</w:t>
      </w:r>
    </w:p>
    <w:p>
      <w:pPr>
        <w:pStyle w:val="ListBullet"/>
        <w:spacing w:after="40"/>
      </w:pPr>
      <w:r>
        <w:t>Vadovo teigimu, pelningumą II ketv. sumažino kylančios kuro kainos ir neplanuoti laivų remontai po ledo sąlygų [P2].</w:t>
      </w:r>
    </w:p>
    <w:p>
      <w:pPr>
        <w:pStyle w:val="ListBullet"/>
        <w:spacing w:after="40"/>
      </w:pPr>
      <w:r>
        <w:t>Skola stabili: grynoji skola 145,8 mln. EUR, grynoji skola / 12 mėn. koreguota EBITDA 2,78x, nuosavo kapitalo dalis 59,8 % (abu rodikliai apskaičiuoti įrankio) [P1].</w:t>
      </w:r>
    </w:p>
    <w:p>
      <w:pPr>
        <w:pStyle w:val="ListBullet"/>
        <w:spacing w:after="40"/>
      </w:pPr>
      <w:r>
        <w:t>Dividendai 0,073 EUR akcijai, iš viso 19,2 mln. EUR – 85 % 2025 m. pelno (politika – ne mažiau 70 %); išmokėta 2026-05-20 [P1 p.14-15].</w:t>
      </w:r>
    </w:p>
    <w:p>
      <w:pPr>
        <w:pStyle w:val="ListBullet"/>
        <w:spacing w:after="40"/>
      </w:pPr>
      <w:r>
        <w:t>Estijos valstybė valdo 67,03 % [P1 p.13]. Buvusių vadovų kyšininkavimo byla: 2024-06-27 teismas išteisino dėl senaties; prokuratūra ir gynyba apskundė, vėlesnis sprendimas nerastas – reikia peržiūrėti [E1; E2].</w:t>
      </w:r>
    </w:p>
    <w:p>
      <w:pPr>
        <w:pStyle w:val="Heading2"/>
      </w:pPr>
      <w:r>
        <w:rPr>
          <w:color w:val="1F4E79"/>
        </w:rPr>
        <w:t>Veiklos apžvalga</w:t>
      </w:r>
    </w:p>
    <w:p>
      <w:pPr>
        <w:pStyle w:val="ListBullet"/>
        <w:spacing w:after="40"/>
      </w:pPr>
      <w:r>
        <w:t>Kroviniai 6,48 mln. t (−5,0 %), daugiausia dėl skystų krovinių (−33,8 %); keleiviai 3,59 mln. (−2,0 %); laivų įplaukimai −4,8 % [P1 p.4].</w:t>
      </w:r>
    </w:p>
    <w:p>
      <w:pPr>
        <w:pStyle w:val="ListBullet"/>
        <w:spacing w:after="40"/>
      </w:pPr>
      <w:r>
        <w:t>Kruizų keleiviai +47,8 %, kruizinių laivų įplaukimai +29,3 % (6 mėn.) [P1].</w:t>
      </w:r>
    </w:p>
    <w:p>
      <w:pPr>
        <w:pStyle w:val="ListBullet"/>
        <w:spacing w:after="40"/>
      </w:pPr>
      <w:r>
        <w:t>Keltai (Saaremaa, Hiiumaa): II ketv. reisai +1,2 %, keleiviai +1,8 %; vasarai sutarta dėl papildomų kelto „Regula“ reisų [P1 – patikrinti]. Ledlaužio „Botnica“ frachtas 130 d. (110 d.) [P1].</w:t>
      </w:r>
    </w:p>
    <w:p>
      <w:pPr>
        <w:pStyle w:val="ListBullet"/>
        <w:spacing w:after="40"/>
      </w:pPr>
      <w:r>
        <w:t>Segmentai (6 mėn., pajamos / koreg. EBITDA, mln. EUR): keleivių uostai 18,9 / 9,6; krovinių uostai 15,8 / 7,3; keltai 18,6 / 5,9; kita 5,9 / 3,1 [P1 p.9].</w:t>
      </w:r>
    </w:p>
    <w:p>
      <w:pPr>
        <w:pStyle w:val="ListBullet"/>
        <w:spacing w:after="40"/>
      </w:pPr>
      <w:r>
        <w:t>Rizikos pagal ataskaitą: karas Ukrainoje mažina skystų krovinių srautus; JAV–Irano konfliktas ir Hormūzo sąsiaurio blokada didina kuro kainas [P1].</w:t>
      </w:r>
    </w:p>
    <w:p>
      <w:pPr>
        <w:pStyle w:val="Heading2"/>
      </w:pPr>
      <w:r>
        <w:rPr>
          <w:color w:val="1F4E79"/>
        </w:rPr>
        <w:t>Finansai</w:t>
      </w:r>
    </w:p>
    <w:p>
      <w:pPr>
        <w:pStyle w:val="ListBullet"/>
        <w:spacing w:after="40"/>
      </w:pPr>
      <w:r>
        <w:t>2025 m.: pajamos 118,7 mln. EUR (−0,8 %), koreguota EBITDA 56,5 mln. EUR (+6,4 %), grynasis pelnas 22,5 mln. EUR (+17,3 %), investicijos 33,2 mln. EUR, laisvieji pinigų srautai 50,9 mln. EUR [P3].</w:t>
      </w:r>
    </w:p>
    <w:p>
      <w:pPr>
        <w:pStyle w:val="ListBullet"/>
        <w:spacing w:after="40"/>
      </w:pPr>
      <w:r>
        <w:t>6 mėn. investicijos 3,5 mln. EUR (12,0 mln.). 2025 m. palyginimui įtakos turėjo vienkartinis 0,9 mln. EUR pelnas iš žemės pardavimo Rail Baltica stočiai [P1].</w:t>
      </w:r>
    </w:p>
    <w:p>
      <w:pPr>
        <w:pStyle w:val="Heading2"/>
      </w:pPr>
      <w:r>
        <w:rPr>
          <w:color w:val="1F4E79"/>
        </w:rPr>
        <w:t>Ankstesni planai ir rezultatai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Išmokėta 85 % pelno (politika ≥70 %)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Įvykdyta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P3; P1 p.14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2025 m. – 19 261 t CO2e (−41,8 % nuo 2019 m.; apskaičiuota įrankio, patikrinti)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P6 p.19, p.22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Nauja – vertinti kitoje apžvalgoje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P4</w:t>
            </w:r>
          </w:p>
        </w:tc>
      </w:tr>
    </w:tbl>
    <w:p/>
    <w:p>
      <w:pPr>
        <w:pStyle w:val="Heading2"/>
      </w:pPr>
      <w:r>
        <w:rPr>
          <w:color w:val="1F4E79"/>
        </w:rPr>
        <w:t>Informacija investuotojui ir išvados</w:t>
      </w:r>
    </w:p>
    <w:p>
      <w:pPr>
        <w:pStyle w:val="ListBullet"/>
        <w:spacing w:after="40"/>
      </w:pPr>
      <w:r>
        <w:t>Turima priemonė: akcijos (TSM1T, Nasdaq Tallinn). Obligacijų nėra; skolinimasis – paskolos (173,4 mln. EUR, iš jų 93,1 mln. trumpalaikės) [P1].</w:t>
      </w:r>
    </w:p>
    <w:p>
      <w:pPr>
        <w:pStyle w:val="ListBullet"/>
        <w:spacing w:after="40"/>
      </w:pPr>
      <w:r>
        <w:t>Dividendų bazė: dividendai skaičiuojami nuo praėjusių metų pelno; 6 mėn. pelnas 6,0 mln. EUR (10,3 mln.) – jei tendencija tęsis, 2027 m. dividendų bazė bus mažesnė [P1; P2].</w:t>
      </w:r>
    </w:p>
    <w:p>
      <w:pPr>
        <w:pStyle w:val="ListBullet"/>
        <w:spacing w:after="40"/>
      </w:pPr>
      <w:r>
        <w:t>93,1 mln. EUR paskolų – trumpalaikės: stebėti refinansavimą [P1].</w:t>
      </w:r>
    </w:p>
    <w:p>
      <w:pPr>
        <w:pStyle w:val="ListBullet"/>
        <w:spacing w:after="40"/>
      </w:pPr>
      <w:r>
        <w:t>Išvada: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pStyle w:val="Heading2"/>
      </w:pPr>
      <w:r>
        <w:rPr>
          <w:color w:val="1F4E79"/>
        </w:rPr>
        <w:t>ESG klausimynas</w:t>
      </w:r>
    </w:p>
    <w:p>
      <w:r>
        <w:t>SEB: Shipping sector policy (turinys nepatikrintas / not verified); Transportation sector policy (turinys nepatikrintas / not verified); Environmental Policy on Climate, Nature and Water (turinys nepatikrintas / not verified); Social and Human Rights Policy (turinys nepatikrintas / not verified); Anti-corruption, Code of Conduct, Tax (turinys nepatikrintas / not 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Įrodymas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Išimčių patikra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Anglies (kasyba ar anglies elektrinės) dalis pajamose mažesnė nei 5 %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Uosto operatorius; anglies kasybos ar anglies elektrinių nėra [P1].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naujos naftos ir dujų žvalgybos / netradicinės naftos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Krauna skystus krovinius (naftos produktus), jų kiekis mažėja (−33,8 %); tiesioginės žvalgybos nėra [P1].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sąsajų su kontroversiškais ginklais, tabaku ar lošimais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Veiklos segmentuose nėra [P1].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rimtų neišspręstų skandalų (korupcija, žmogaus teisės, aplinka)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Buvusių vadovų kyšininkavimo byla (pradėta 2015 m.): 2024-06-27 išteisinti dėl senaties, apskųsta; įmonė – nukentėjusioji, ne kaltinamoji [E1; E2].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ESG integravimas / teigiama atranka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Emisijų mažinimo tikslai (Paryžiaus / SBTi) ir pereinamojo laikotarpio planas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Tikslai: 1+2 apimtis −55 % iki 2030 m. (nuo 2019 m.), klimato neutralumas iki 2050 m., 90 % atsinaujinančios energijos savo reikmėms [P6 p.19, p.22].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Tvarumo ataskaitos (CSRD/ESRS ar GRI), atskleistos 1–3 apimties emisijos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☑ Atitinka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Savanoriška 2025 m. tvarumo ataskaita pagal CSRD/ESRS principus (pilnai CSRD neatitinka) [P6].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Teigiamas indėlis (žaliosios pajamos / investicijos, ES taksonomija, žaliosios obligacijos)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Taksonomijos dalis ir krantinių elektros tiekimas automatiškai nerasti.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Valdysena – nepriklausoma valdyba, antikorupcijos ir pranešėjų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Valstybė valdo 67,03 %; po kyšininkavimo bylos – patikrinti antikorupcijos priemones [P1 p.13; E1].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Socialiniai aspektai – sauga, darbo ir žmogaus teisių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Automatiškai netikrinta.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Įsitraukimas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Klausimai įsitraukimui su emitentu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Siūlomi klausimai: keltų kuro emisijos ir sąnaudos, kelio į −55 % iki 2030 m. planas, bylos baigtis.</w:t>
            </w:r>
          </w:p>
        </w:tc>
      </w:tr>
    </w:tbl>
    <w:p/>
    <w:p>
      <w:r>
        <w:t>ESG išvada: SEB laivybos ir transporto politikų turinys dar nepatikrintas (PDF). Pagal turimus duomenis didelių neatitikimų nėra; teigiama – emisijų tikslai ir tvarumo ataskaita. Peržiūrėti bylą ir skystų krovinių (naftos produktų) dalį.</w:t>
      </w:r>
    </w:p>
    <w:p>
      <w:pPr>
        <w:pStyle w:val="Heading2"/>
      </w:pPr>
      <w:r>
        <w:rPr>
          <w:color w:val="1F4E79"/>
        </w:rPr>
        <w:t>Sankcijos ir žiniasklaida (tikrina analitikas)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Sankcijų patikra (atlieka analitikas vidinėmis priemonėmis)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Tikrina analitikas vidinėmis priemonėmis.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Neigiamos žiniasklaidos patikra (įrankis pateikia radinius, analitikas patvirtina)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Rasta (EE žiniasklaida): buvusių vadovų kyšininkavimo byla – žr. E1, E2. Naujesnių sprendimų nerasta.</w:t>
            </w:r>
          </w:p>
        </w:tc>
      </w:tr>
    </w:tbl>
    <w:p/>
    <w:p>
      <w:pPr>
        <w:pStyle w:val="Heading2"/>
      </w:pPr>
      <w:r>
        <w:rPr>
          <w:color w:val="1F4E79"/>
        </w:rPr>
        <w:t>Šaltiniai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AS Tallinna Sadam - Interim report Q2 and 6M 2026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2026-08-10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https://ml-eu.globenewswire.com/Resource/Download/bfd79dd4-0a64-4f1a-bf21-dcb2548a7586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Stock exchange release: financial results for 2026 Q2 and 6 months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2026-08-10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https://www.inderes.fi/en/releases/as-tallinna-sadam-financial-results-for-2026-q2-and-6-months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Results of Q4 and 12 months 2025 - webinar presentation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https://www.ts.ee/wp-content/uploads/2026/02/2025-Q4-Webinar.pdf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P4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Q2 2026 webinar presentation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https://www.ts.ee/wp-content/uploads/2019/12/Q2-2026-webinar-ENG.pdf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P5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Investor - stock exchange info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2026-10-22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https://www.ts.ee/en/investor/stock-exchange-info/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P6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Sustainability Report 2025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2026-04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https://www.ts.ee/wp-content/uploads/2026/04/Sustainability_Report_2025.pdf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ERR: defence appeals acquittal in Tallinna Sadam case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2024-07-24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https://www.err.ee/1609405501/tallinna-sadama-kaasuses-oigeksmoistetute-kaitsjad-vaidlustasid-kohtuotsuse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E2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ERR: State Prosecutor appeals Tallinna Sadam ruling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2024-07-26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https://www.err.ee/1609408312/riigiprokuratuur-vaidlustas-tallinna-sadama-kohtuotsuse</w:t>
            </w:r>
          </w:p>
        </w:tc>
      </w:tr>
    </w:tbl>
    <w:p/>
    <w:p>
      <w:r>
        <w:rPr>
          <w:i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