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Shopping centres and commercial real estate (Lithuania, Latvia; Galio Group)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6.0%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Occupancy 99.2%, bond covenants met with headroom: leverage 46% (limit 60%), coverage 3.3x (minimum 2x)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Galio:</w:t>
      </w:r>
      <w:r>
        <w:rPr>
          <w:b w:val="0"/>
        </w:rPr>
        <w:t xml:space="preserve"> revenue +29% to EUR 81.6m, EBITDA +28% to EUR 56.6m, mainly from Galio Group consolidated since October 2025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Excluding it, the five centres' NOI rose about 6% on 3% indexation and new leases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Costlier funding:</w:t>
      </w:r>
      <w:r>
        <w:rPr>
          <w:b w:val="0"/>
        </w:rPr>
        <w:t xml:space="preserve"> interest expense EUR 17.9m (12.1m) as the new green bond pays 6% versus 2.875% on the refinanced bond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Consumers and housing:</w:t>
      </w:r>
      <w:r>
        <w:rPr>
          <w:b w:val="0"/>
        </w:rPr>
        <w:t xml:space="preserve"> tenant sales +8.1% to EUR 604.1m, faster than inflation; occupancy 99.2%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sold 150 units (+48.5%) in a favourable market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2026-07-26 – 2026-10-24: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2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sanctionssearch.ofac.treas.gov/" TargetMode="External"/><Relationship Id="rId40" Type="http://schemas.openxmlformats.org/officeDocument/2006/relationships/hyperlink" Target="https://www.sanctionsmap.eu/#/main" TargetMode="External"/><Relationship Id="rId41" Type="http://schemas.openxmlformats.org/officeDocument/2006/relationships/hyperlink" Target="https://akropolis.eu/view-file/739_AKROPOLIS%20GROUP,%20UAB%20Konsoliduotoji%20metin%C4%97%20vadovyb%C4%97s%20ataskaita%202025.pdf#page=4" TargetMode="External"/><Relationship Id="rId42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