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Akropolis Group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BB+ stable (affirmed 2025-12-15); Fitch BB+ stable (affirmed 2026-07-13)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Akropolis Group 6.000% green notes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XS3046302488  ·  6,0 % · 2030-05-15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Akropolis – prekybos centrų Lietuvoje ir Latvijoje valdytojas, S&amp;P ir Fitch BB+ (stabili)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Užimtumas 99,2 %, obligacijų kovenantų laikomasi su atsarga: svertas 46 % (riba 60 %), padengimas 3,3 karto (riba 2)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56,6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27,8 %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37,0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21,3 %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LTV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41,7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4,7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 / palūkanos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3,3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 dėl Galio Group:</w:t>
      </w:r>
      <w:r>
        <w:rPr>
          <w:b w:val="0"/>
        </w:rPr>
        <w:t xml:space="preserve"> I pusm. pajamos 81,6 mln. EUR (63,3 mln.), EBITDA 56,6 mln. EUR (44,3 mln.), pelnas 37,0 mln. EUR (30,5 mln.); Galio konsoliduojama nuo 2025-10-01, todėl palyginimas su 2025 m. ne visai tiesioginis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Stipri veikla:</w:t>
      </w:r>
      <w:r>
        <w:rPr>
          <w:b w:val="0"/>
        </w:rPr>
        <w:t xml:space="preserve"> užimtumas 99,2 %, nuomininkų apyvarta 604 mln. EUR (+8,1 %), lankytojų 117 tūkst. per dieną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 paaugo:</w:t>
      </w:r>
      <w:r>
        <w:rPr>
          <w:b w:val="0"/>
        </w:rPr>
        <w:t xml:space="preserve"> grynasis LTV 41,7 % (2025 m. pab. 37,0 %), grynoji skola 584,6 mln. EUR; pusmetį išmokėta 90 mln. EUR dividendų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Reitingai stabilūs:</w:t>
      </w:r>
      <w:r>
        <w:rPr>
          <w:b w:val="0"/>
        </w:rPr>
        <w:t xml:space="preserve"> Fitch BB+ patvirtintas 2026-07-13, S&amp;P BB+ – 2025-12-15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XS3046302488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Akropolis Group 6.000% green notes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unsecured; par call from 2030-02-15, make-whole before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124,9*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140,0*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28,9 %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87,8*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98,3*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27,8 %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37,0*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21,3 %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1 300,4*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1 714,3*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1 616,6*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5,7 %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710,5*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799,6*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746,6*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527,5*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584,6*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10,8 %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6,2x*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5,3x*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0,9x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LTV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37,0 %*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41,7 %*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4,7 p. p.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 / palūkanos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3,3x*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kropolis_l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5 prekybos centrai (Vilnius, Klaipėda, Šiauliai, Akropole Ryga, Akropole Alfa) ir Galio Group – iš viso 55 pajamas duodantys objektai; turto vertė 61 % Lietuvoje, 36 % Latvijoje, 3 % Estijoje</w:t>
      </w:r>
      <w:hyperlink r:id="rId25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26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Plėtra:</w:t>
      </w:r>
      <w:r>
        <w:rPr>
          <w:b w:val="0"/>
        </w:rPr>
        <w:t xml:space="preserve"> Klaipėdoje baigtas naujas 3 500 kv. m pastatas (6 mln. EUR), Galio projektai Cityzen (48 mln. EUR) ir Remarco (&gt;40 mln. EUR); Akropolis Vingis – gautas leidimas, finansavimo sprendimas svarstomas</w:t>
      </w:r>
      <w:hyperlink r:id="rId27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140,0 mln. EUR (124,9 mln.), EBITDA 98,3 mln. EUR (87,8 mln.), pelnas 88,1 mln. EUR (61,6 mln.); portfelio vertė 1 424 mln. EUR</w:t>
      </w:r>
      <w:hyperlink r:id="rId19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2026-06-30 skolos 691,7 mln. EUR, pinigai 107,1 mln. EUR; vidutinė skolos kaina 4,8 %, vidutinė trukmė 3,3 m.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Refinansuoti 300 mln. EUR 2,875 % obligacijas (2026)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Išpirktos 2025 m., išleidus 350 mln. EUR 6 % obligacijas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Paskirstyti 350 mln. EUR žaliųjų obligacijų lėšas tinkamiems žaliems pastatams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Paskirstyta visa suma (2026 m.)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Akropolis Vingis plėtra Vilniuje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Leidimas gautas, finansavimo sprendimas svarstomas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Sprendimas dar nepriimtas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6,000 % žaliosios obligacijos, 350 mln. EUR, išleistos 2025-05-15, išpirkimas 2030-05-15; neužtikrintos, nesubordinuotos, su įkeitimo draudimu; Euronext Dublin ir Nasdaq Vilnius</w:t>
      </w:r>
      <w:hyperlink r:id="rId31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Išpirkimas anksčiau:</w:t>
      </w:r>
      <w:r>
        <w:rPr>
          <w:b w:val="0"/>
        </w:rPr>
        <w:t xml:space="preserve"> iki 2030-02-15 – tik su visa kompensacija (make-whole), nuo 2030-02-15 – už nominalią vertę; kontrolės pasikeitimo atveju – teisė parduoti už 101 %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Kovenantai (2026-06-30):</w:t>
      </w:r>
      <w:r>
        <w:rPr>
          <w:b w:val="0"/>
        </w:rPr>
        <w:t xml:space="preserve"> konsoliduotas svertas 46 % (&lt;60 %), užtikrintas svertas 21 % (&lt;40 %), padengimas 3,3 karto (&gt;2), neįkeistas turtas / neužtikrinta skola 194 % (&gt;125 %) – laikomasi</w:t>
      </w:r>
      <w:hyperlink r:id="rId23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Bankams įkeista 770,9 mln. EUR turto, todėl obligacijos faktiškai žemiau užtikrintų paskolų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stiprus turtas ir veikla, svertas kiek padidėjo, kovenantų atsarga didelė.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 iš Galio:</w:t>
      </w:r>
      <w:r>
        <w:rPr>
          <w:b w:val="0"/>
        </w:rPr>
        <w:t xml:space="preserve"> pajamos +29 % iki 81,6 mln. EUR, EBITDA +28 % iki 56,6 mln. EUR – daugiausia dėl nuo 2025 m. spalio konsoliduojamos Galio Group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 Be jos penkių centrų grynosios veiklos pajamos +6 % dėl 3 % indeksacijos ir naujų nuomos sutarčių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Brangesnis finansavimas:</w:t>
      </w:r>
      <w:r>
        <w:rPr>
          <w:b w:val="0"/>
        </w:rPr>
        <w:t xml:space="preserve"> palūkanų sąnaudos 17,9 mln. EUR (12,1 mln.), nes naujų žaliųjų obligacijų kuponas 6 %, o refinansuotų – 2,875 %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Vartotojai ir būstas:</w:t>
      </w:r>
      <w:r>
        <w:rPr>
          <w:b w:val="0"/>
        </w:rPr>
        <w:t xml:space="preserve"> nuomininkų apyvarta +8,1 % iki 604,1 mln. EUR – sparčiau nei infliacija; užimtumas 99,2 %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Galio parduota 150 butų (+48,5 %) dėl palankios rinkos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LT), 2026-07-26 – 2026-10-24: 4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„Akropolis Group“ šiemet tikisi gerų finansinių rezultatų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Klaipėdos „Akropolis“ baigė naujojo pastato statybas: atskleidė, kokie prekių ženklai čia įsikurs</w:t>
              </w:r>
            </w:hyperlink>
            <w:r>
              <w:rPr>
                <w:b w:val="0"/>
                <w:color w:val="667085"/>
                <w:sz w:val="15"/>
              </w:rPr>
              <w:t xml:space="preserve">   Delfi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„Akropolis Group“ valdomas „Akropole Alfa“ tvarumo įvertinimą pagerino iki BREEAM „Excellent“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Komercinis nekilnojamasis turtas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2026-10-24).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2026-07-26 – 2026-10-24: 4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Visi 5 centrai turi BREEAM In-Use „Very Good“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14001 ir ISO 45001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Žaliųjų finansų sistema su Sustainalytics nuomone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350 mln. EUR obligacijų lėšos visos paskirstytos žaliems pastatams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2025 m. pabaigoje valdyboje nebuvo nepriklausomų narių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Nekilnojamojo turto politika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Pastatų sertifikavimas, aplinkos vadybos sistema, pirmoji CSRD tvarumo ataskaita su ribotu užtikrinimu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aukšti tvarumo standartai.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ESRS tvarumo ataskaita ir žaliųjų obligacijų lėšų paskirstymas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Sertifikuoti žali pastatai ir žaliosios obligacijos.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Akropolis Group - S&amp;P affirmed BB+ stable, 2025-12-15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Akropolis Group - Investor presentation 2026 H1 (slide numbers), p. 5,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5">
        <w:r>
          <w:rPr>
            <w:color w:val="2A78D6"/>
            <w:sz w:val="17"/>
          </w:rPr>
          <w:t xml:space="preserve">Akropolis Group - Investor presentation 2026 H1 (slide numbers), p. 7, 12,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Akropolis Group - Consolidated condensed interim financial statements 6M 2026 (PwC review, LT), p. 6, 9, 11,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Akropolis Group - Investor presentation 2026 H1 (slide numbers), p. 7,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Akropolis Group - Investor presentation 2026 H1 (slide numbers), p. 11,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Akropolis Group - Consolidated condensed interim financial statements 6M 2026 (PwC review, LT), p. 7-8,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Akropolis Group - Consolidated annual management report 2025 (LT), p. 10,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Akropolis Group - Consolidated condensed interim financial statements 6M 2026 (PwC review, LT), p. 11,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6">
        <w:r>
          <w:rPr>
            <w:color w:val="2A78D6"/>
            <w:sz w:val="17"/>
          </w:rPr>
          <w:t xml:space="preserve">Akropolis Group - Consolidated condensed interim financial statements 6M 2026 (PwC review, LT), p. 6,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Akropolis Group - Consolidated condensed interim financial statements 6M 2026 (PwC review, LT), p. 4,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2">
        <w:r>
          <w:rPr>
            <w:color w:val="2A78D6"/>
            <w:sz w:val="17"/>
          </w:rPr>
          <w:t xml:space="preserve">Akropolis Group - Consolidated condensed interim financial statements 6M 2026 (PwC review, LT), p. 5,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3">
        <w:r>
          <w:rPr>
            <w:color w:val="2A78D6"/>
            <w:sz w:val="17"/>
          </w:rPr>
          <w:t xml:space="preserve">Akropolis Group - Investor presentation 2026 H1 (slide numbers), p. 12,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Akropolis Group - Consolidated condensed interim financial statements 6M 2026 (PwC review, LT), p. 9-10,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Akropolis Group - Investor presentation 2026 H1 (slide numbers), p. 14,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Akropolis Group - Investor presentation 2026 H1 (slide numbers), p. 6,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8">
        <w:r>
          <w:rPr>
            <w:color w:val="2A78D6"/>
            <w:sz w:val="17"/>
          </w:rPr>
          <w:t xml:space="preserve">Akropolis Group - Consolidated annual management report 2025 (LT), p. 6,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9">
        <w:r>
          <w:rPr>
            <w:color w:val="2A78D6"/>
            <w:sz w:val="17"/>
          </w:rPr>
          <w:t xml:space="preserve">Akropolis Group - Consolidated annual management report 2025 (LT), p. 10-11,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7">
        <w:r>
          <w:rPr>
            <w:color w:val="2A78D6"/>
            <w:sz w:val="17"/>
          </w:rPr>
          <w:t xml:space="preserve">Akropolis Group - Investor presentation 2026 H1 (slide numbers), p. 11-13,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9">
        <w:r>
          <w:rPr>
            <w:color w:val="2A78D6"/>
            <w:sz w:val="17"/>
          </w:rPr>
          <w:t xml:space="preserve">Akropolis Group - Consolidated condensed interim financial statements 6M 2026 (PwC review, LT), p. 8,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0">
        <w:r>
          <w:rPr>
            <w:color w:val="2A78D6"/>
            <w:sz w:val="17"/>
          </w:rPr>
          <w:t xml:space="preserve">Akropolis Group - Base Prospectus, EUR 350m 6.000% notes due 2030, p. 2-3,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1">
        <w:r>
          <w:rPr>
            <w:color w:val="2A78D6"/>
            <w:sz w:val="17"/>
          </w:rPr>
          <w:t xml:space="preserve">Akropolis Group - Base Prospectus, EUR 350m 6.000% notes due 2030, p. 1-4,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Akropolis Group - Base Prospectus, EUR 350m 6.000% notes due 2030, p. 2,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Akropolis Group - Consolidated condensed interim financial statements 6M 2026 (PwC review, LT), p. 13,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Akropolis Group - H1 2026 results news 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Akropolis Group - Investor presentation 2026 H1 (slide numbers), p. 10,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Akropolis Group - Investor presentation 2026 H1 (slide numbers), p. 8,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25">
        <w:r>
          <w:rPr>
            <w:color w:val="2A78D6"/>
            <w:sz w:val="17"/>
          </w:rPr>
          <w:t xml:space="preserve">Akropolis Group - Consolidated condensed interim financial statements 6M 2026 (PwC review, LT), p. 9,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9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0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1">
        <w:r>
          <w:rPr>
            <w:color w:val="2A78D6"/>
            <w:sz w:val="17"/>
          </w:rPr>
          <w:t xml:space="preserve">Akropolis Group - Consolidated annual management report 2025 (LT), p. 4, 7,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2">
        <w:r>
          <w:rPr>
            <w:color w:val="2A78D6"/>
            <w:sz w:val="17"/>
          </w:rPr>
          <w:t xml:space="preserve">Akropolis Group - Consolidated annual management report 2025 (LT), p. 25-27,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3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1">
        <w:r>
          <w:rPr>
            <w:color w:val="2A78D6"/>
            <w:sz w:val="17"/>
          </w:rPr>
          <w:t xml:space="preserve">Akropolis Group - Consolidated annual management report 2025 (LT), p. 4, 6, 2026-04-09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Akropolis Group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Akropolis Group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Akropolis Group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akropolis.eu/lt/naujienos/sp-global-ratings-patvirtino-akropolis-group-suteikt-bb-kredito-reiting-su-stabilia-perspektyva/46475" TargetMode="External"/><Relationship Id="rId13" Type="http://schemas.openxmlformats.org/officeDocument/2006/relationships/hyperlink" Target="https://akropolis.eu/view-file/751_Akropolis%20-%20review%202026%20H1.pdf#page=5" TargetMode="External"/><Relationship Id="rId14" Type="http://schemas.openxmlformats.org/officeDocument/2006/relationships/image" Target="media/image1.png"/><Relationship Id="rId15" Type="http://schemas.openxmlformats.org/officeDocument/2006/relationships/hyperlink" Target="https://akropolis.eu/view-file/751_Akropolis%20-%20review%202026%20H1.pdf#page=7" TargetMode="External"/><Relationship Id="rId16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6" TargetMode="External"/><Relationship Id="rId17" Type="http://schemas.openxmlformats.org/officeDocument/2006/relationships/hyperlink" Target="https://akropolis.eu/view-file/751_Akropolis%20-%20review%202026%20H1.pdf#page=11" TargetMode="External"/><Relationship Id="rId18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7" TargetMode="External"/><Relationship Id="rId19" Type="http://schemas.openxmlformats.org/officeDocument/2006/relationships/hyperlink" Target="https://akropolis.eu/view-file/739_AKROPOLIS%20GROUP,%20UAB%20Konsoliduotoji%20metin%C4%97%20vadovyb%C4%97s%20ataskaita%202025.pdf#page=10" TargetMode="External"/><Relationship Id="rId20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1" TargetMode="External"/><Relationship Id="rId21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4" TargetMode="External"/><Relationship Id="rId22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5" TargetMode="External"/><Relationship Id="rId23" Type="http://schemas.openxmlformats.org/officeDocument/2006/relationships/hyperlink" Target="https://akropolis.eu/view-file/751_Akropolis%20-%20review%202026%20H1.pdf#page=12" TargetMode="External"/><Relationship Id="rId24" Type="http://schemas.openxmlformats.org/officeDocument/2006/relationships/image" Target="media/image2.png"/><Relationship Id="rId25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9" TargetMode="External"/><Relationship Id="rId26" Type="http://schemas.openxmlformats.org/officeDocument/2006/relationships/hyperlink" Target="https://akropolis.eu/view-file/751_Akropolis%20-%20review%202026%20H1.pdf#page=14" TargetMode="External"/><Relationship Id="rId27" Type="http://schemas.openxmlformats.org/officeDocument/2006/relationships/hyperlink" Target="https://akropolis.eu/view-file/751_Akropolis%20-%20review%202026%20H1.pdf#page=6" TargetMode="External"/><Relationship Id="rId28" Type="http://schemas.openxmlformats.org/officeDocument/2006/relationships/hyperlink" Target="https://akropolis.eu/view-file/739_AKROPOLIS%20GROUP,%20UAB%20Konsoliduotoji%20metin%C4%97%20vadovyb%C4%97s%20ataskaita%202025.pdf#page=6" TargetMode="External"/><Relationship Id="rId29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8" TargetMode="External"/><Relationship Id="rId30" Type="http://schemas.openxmlformats.org/officeDocument/2006/relationships/hyperlink" Target="https://www.akropolis.eu/view-file/585_Base%20Prospectus%20of%20AKROPOLIS%20GROUP,%20UAB%20350%20M%20Bond%20issuance%20due%202030.pdf#page=2" TargetMode="External"/><Relationship Id="rId31" Type="http://schemas.openxmlformats.org/officeDocument/2006/relationships/hyperlink" Target="https://www.akropolis.eu/view-file/585_Base%20Prospectus%20of%20AKROPOLIS%20GROUP,%20UAB%20350%20M%20Bond%20issuance%20due%202030.pdf#page=1" TargetMode="External"/><Relationship Id="rId32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3" TargetMode="External"/><Relationship Id="rId33" Type="http://schemas.openxmlformats.org/officeDocument/2006/relationships/hyperlink" Target="https://www.akropolis.eu/lt/naujienos/akropolis-group-rezultatai-pirmj-pusmet-augo-lankytoj-srautai-nuominink-apyvarta-isiplt-veiklos-apimtys/46479" TargetMode="External"/><Relationship Id="rId34" Type="http://schemas.openxmlformats.org/officeDocument/2006/relationships/hyperlink" Target="https://akropolis.eu/view-file/751_Akropolis%20-%20review%202026%20H1.pdf#page=10" TargetMode="External"/><Relationship Id="rId35" Type="http://schemas.openxmlformats.org/officeDocument/2006/relationships/hyperlink" Target="https://akropolis.eu/view-file/751_Akropolis%20-%20review%202026%20H1.pdf#page=8" TargetMode="External"/><Relationship Id="rId36" Type="http://schemas.openxmlformats.org/officeDocument/2006/relationships/hyperlink" Target="https://news.google.com/rss/articles/CBMitAFBVV95cUxOQmNNazlPTmhtbVAwRjQ0VDhDcFRFejU0WFh4MzV3cGppUE1nalhScmdmT0tDTGY5d3RBeG0wSDN1UnhaZFQwU3NGRDhOU2VDWFd0YjNFTC1CbktqQWlZaG5JRkUxcmdUVUJtZUFvcWQ0RnM5X3JUTWtRQ0RFdWFOU1FnTDZPZkYzcHNkNXh4c21sWmVKbmRYeVVFYmJSQVlrZjVqd1lVM2ljTlg2SHBEZWpULUY?oc=5" TargetMode="External"/><Relationship Id="rId37" Type="http://schemas.openxmlformats.org/officeDocument/2006/relationships/hyperlink" Target="https://news.google.com/rss/articles/CBMi2gFBVV95cUxNWlYyZ0hPbnVBZDg0OExIcmNBUlVIVDdUMlZQbV8tUEQzcnoyOUY1REk4ZmNaTDZtMmM1SmdhWXVEejc3VmZYa1BScGxudWhxd2tMZy03dmdDaG9pT3Y1UWJOMUdFSEtsVjBKTEJCZXFLNW5FclhrSUtlQThBbHpEcVlKazVSTzlzeWotTUMzaXRuVjJIeGRsM2V1cDVBb2ZnMXdUSHVuQnhMM3hiNkNFLUp3LWdDU0pxRVdGdWNzLTNuM1ZNbVpsUmkwT2dwYWFhXzhlWmVUUDhIdw?oc=5" TargetMode="External"/><Relationship Id="rId38" Type="http://schemas.openxmlformats.org/officeDocument/2006/relationships/hyperlink" Target="https://news.google.com/rss/articles/CBMi5AFBVV95cUxNZDJ3NXcxSk5WemZyNGxQOUg0aWRaVWJhOUp4RGZRcXRpWktoNE10Q1VFWnRzbWZkbFRVY0FGZUJMcWNJX3I0b2dlUUhwSGkzbERsc2dCYnhYVnN4RUFRMS1OUHBpMUYyTTBnc3QxeWZFR3FaT2RwSmNNT0VjenpmSlZXRko0ZnM1ZHNUcjdrQUtkbTBNTk9NVHRvVkpNbTFrVmVROWRwSmhCMF9teDJiTTRZb1NUSzV3cEhLQ0JSN3BmTjJMYVZ6aVktV0NOUDBUYlR3VnNWdjZJMHRtZU52eEg2eVI?oc=5" TargetMode="External"/><Relationship Id="rId39" Type="http://schemas.openxmlformats.org/officeDocument/2006/relationships/hyperlink" Target="https://sanctionssearch.ofac.treas.gov/" TargetMode="External"/><Relationship Id="rId40" Type="http://schemas.openxmlformats.org/officeDocument/2006/relationships/hyperlink" Target="https://www.sanctionsmap.eu/#/main" TargetMode="External"/><Relationship Id="rId41" Type="http://schemas.openxmlformats.org/officeDocument/2006/relationships/hyperlink" Target="https://akropolis.eu/view-file/739_AKROPOLIS%20GROUP,%20UAB%20Konsoliduotoji%20metin%C4%97%20vadovyb%C4%97s%20ataskaita%202025.pdf#page=4" TargetMode="External"/><Relationship Id="rId42" Type="http://schemas.openxmlformats.org/officeDocument/2006/relationships/hyperlink" Target="https://akropolis.eu/view-file/739_AKROPOLIS%20GROUP,%20UAB%20Konsoliduotoji%20metin%C4%97%20vadovyb%C4%97s%20ataskaita%202025.pdf#page=25" TargetMode="External"/><Relationship Id="rId43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