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Augstsprieguma tīkls (AST)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Latvia · Electricity transmission system operator (Latvia); 68.46% of Conexus Baltic Grid (gas transmission and storage)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A- with a stable outlook (agency not named in the report)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- 2026-11-30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Latvia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AST 0.5% green bond 2027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LV0000802528  ·  0.5% · 2027-01-20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AST is Latvia's 100% state-owned electricity transmission operator, rated A-</w:t>
            </w:r>
            <w:hyperlink r:id="rId16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 For the EUR 100m bond maturing on 2027-01-20 it holds EUR 94.7m of cash and an undrawn SEB overdraft of up to EUR 90m</w:t>
            </w:r>
            <w:hyperlink r:id="rId17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61.4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22.3 %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22.5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17.8 %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debt / 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0.93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0.39x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 ratio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40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 p. p.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Results improving:</w:t>
      </w:r>
      <w:r>
        <w:rPr>
          <w:b w:val="0"/>
        </w:rPr>
        <w:t xml:space="preserve"> 1H EBITDA EUR 61.4m (50.2m), margin 33% (28%); profit EUR 22.5m (19.1m)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Low debt:</w:t>
      </w:r>
      <w:r>
        <w:rPr>
          <w:b w:val="0"/>
        </w:rPr>
        <w:t xml:space="preserve"> net debt about EUR 94m, about 0.9 times annual EBITDA (own calculation); equity ratio 40%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Bond redemption covered:</w:t>
      </w:r>
      <w:r>
        <w:rPr>
          <w:b w:val="0"/>
        </w:rPr>
        <w:t xml:space="preserve"> for the EUR 100m green bond due January 2027 there is an SEB overdraft of up to EUR 90m (to 2027-03-10), undrawn at 2026-06-30</w:t>
      </w:r>
      <w:hyperlink r:id="rId13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Large investments:</w:t>
      </w:r>
      <w:r>
        <w:rPr>
          <w:b w:val="0"/>
        </w:rPr>
        <w:t xml:space="preserve"> EUR 209m invested in 2025; the Development Plan 2027-2036 is EUR 1,066m, of which up to EUR 289m is EU co-financing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color w:val="2A78D6"/>
          <w:vertAlign w:val="superscript"/>
        </w:rPr>
        <w:t>,</w:t>
      </w:r>
      <w:hyperlink r:id="rId13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LV0000802528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AST 0.5% green bond 2027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2027-01-20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 (not rated separately: the issuer chose not to rate its bonds (S&amp;P issuer rating A-))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Listed 2021-11-29; refinancing backed by SEB overdraft up to EUR 90m (to 2027-03-10)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Revenue,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258.6*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354.1*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177.5*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185.7*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4.6 %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108.3*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90.8*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50.2*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61.4*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22.3 %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27.5*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22.5*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17.8 %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Investments,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209.1*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104.6*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62.6*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40.2 %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74.2ᶜ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120.0ᶜ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134.3ᶜ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94.4ᶜ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29.7 %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 / EBITDA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0.69xᶜ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1.32xᶜ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0.93xᶜ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0.39x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641.1*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651.7*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644.9*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657.6*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2.0 %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42%*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40%*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1,529.0*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1,587.9*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1,567.7*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1,640.3*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4.6 %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t_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AST runs Latvia's 330 kV and 110 kV transmission grid (330 kV: 17 substations, 1,727 km; 110 kV: 130 substations, 3,786 km) and owns 68.46% of Conexus Baltic Grid (gas transmission and the Inčukalns storage)</w:t>
      </w:r>
      <w:hyperlink r:id="rId21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The Baltics synchronised with Continental Europe on 2025-02-09; the balancing capacity market has run since 2025-02-04</w:t>
      </w:r>
      <w:hyperlink r:id="rId22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New three-year tariffs apply from 2026-01-01, with the average AST tariff falling by 10%</w:t>
      </w:r>
      <w:hyperlink r:id="rId23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FY2025 revenue EUR 354.1m (258.6m), EBITDA EUR 90.8m (108.3m), profit EUR 27.5m (22.7m)</w:t>
      </w:r>
      <w:hyperlink r:id="rId19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Borrowings EUR 189.0m and cash EUR 94.7m at 2026-06-30; the bonds (EUR 100.2m) are now short-term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Dividends:</w:t>
      </w:r>
      <w:r>
        <w:rPr>
          <w:b w:val="0"/>
        </w:rPr>
        <w:t xml:space="preserve"> the parent company paid EUR 13.6m in 1H</w:t>
      </w:r>
      <w:hyperlink r:id="rId24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Synchronise the Baltics with Continental Europe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Done on 2025-02-09, confirmed as permanent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Done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Refinance the EUR 100m bond (maturity 2027-01-20)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Cash EUR 94.7m and an SEB overdraft of up to EUR 90m; no new issue plan in the report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Enough funds for the redemption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Development Plan 2027-2036: EUR 1,066m of investment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Submitted to the regulator (PUC) on 2026-07-30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Awaiting approval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a 0.5% green bond, EUR 100m, maturing 2027-01-20 (Nasdaq Riga since 2021-11-29)</w:t>
      </w:r>
      <w:hyperlink r:id="rId26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Redemption:</w:t>
      </w:r>
      <w:r>
        <w:rPr>
          <w:b w:val="0"/>
        </w:rPr>
        <w:t xml:space="preserve"> less than three months to maturity; cash (EUR 94.7m) and the undrawn EUR 90m overdraft cover the full amount</w:t>
      </w:r>
      <w:hyperlink r:id="rId17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low risk thanks to state ownership, regulated business, an A- rating and secured redemption funding.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Profit rose</w:t>
      </w:r>
      <w:r>
        <w:rPr>
          <w:b w:val="0"/>
        </w:rPr>
        <w:t xml:space="preserve"> to EUR 22.5m (19.1m a year earlier) on higher power and gas transmission revenue</w:t>
      </w:r>
      <w:hyperlink r:id="rId27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; power transmission revenue +8% thanks to balancing and congestion-management revenue (+EUR 41.8m)</w:t>
      </w:r>
      <w:hyperlink r:id="rId27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Tariffs:</w:t>
      </w:r>
      <w:r>
        <w:rPr>
          <w:b w:val="0"/>
        </w:rPr>
        <w:t xml:space="preserve"> new transmission tariffs from 2026-01-01; up to EUR 44.4m of accumulated congestion revenue can be used until end-2028, EUR 4.0m recognised in 1H 2026</w:t>
      </w:r>
      <w:hyperlink r:id="rId2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 Gas storage revenue fell 36% on lower bookings and tariff</w:t>
      </w:r>
      <w:hyperlink r:id="rId2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Market:</w:t>
      </w:r>
      <w:r>
        <w:rPr>
          <w:b w:val="0"/>
        </w:rPr>
        <w:t xml:space="preserve"> the June power price in Latvia was EUR 92.23/MWh (+12.3% m/m) on lower wind output and a European heatwave</w:t>
      </w:r>
      <w:hyperlink r:id="rId29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; synchronisation and renewables growth significantly increase the need for balancing reserves</w:t>
      </w:r>
      <w:hyperlink r:id="rId13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3.38%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0.66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No news about the issuer found in this period.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Electricity transmission and gas infrastructure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activity in excluded sectors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10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2026-10-24).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31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2026-07-26 – 2026-10-24: 0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grid connects renewables: five new connection agreements in Q1 2026, including a 160 MW hybrid plant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 links with Estonia, Sweden and Germany planned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bonds (2021) fund the transmission grid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SF6 equipment is being replaced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5"/>
                </w:rPr>
                <w:t xml:space="preserve">14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Board appointments follow open competitions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Electricity &amp; Renewable Energy policy</w:t>
            </w:r>
            <w:hyperlink r:id="rId34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development plan integrates more renewables, ISO 45001 safety, an annual sustainability report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a state-owned regulated transmission company.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sustainability report under ESRS is published, with Scope 3 emissions from 2025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Almost 100% of waste is recycled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The transmission grid is essential for renewable expansion.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Electricity &amp; Renewable Energy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AST - Interim financial statements 12M 2025, p.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AST - Condensed interim financial statements 6M 2026 (unaudited), p. 11-12,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Nasdaq Baltic - AST reports list, 2026-10-19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6">
        <w:r>
          <w:rPr>
            <w:color w:val="2A78D6"/>
            <w:sz w:val="17"/>
          </w:rPr>
          <w:t xml:space="preserve">AST - Condensed interim financial statements 6M 2026 (unaudited), p. 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7">
        <w:r>
          <w:rPr>
            <w:color w:val="2A78D6"/>
            <w:sz w:val="17"/>
          </w:rPr>
          <w:t xml:space="preserve">AST - Condensed interim financial statements 6M 2026 (unaudited), p. 4,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7">
        <w:r>
          <w:rPr>
            <w:color w:val="2A78D6"/>
            <w:sz w:val="17"/>
          </w:rPr>
          <w:t xml:space="preserve">AST - Condensed interim financial statements 6M 2026 (unaudited), p. 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3">
        <w:r>
          <w:rPr>
            <w:color w:val="2A78D6"/>
            <w:sz w:val="17"/>
          </w:rPr>
          <w:t xml:space="preserve">AST - Condensed interim financial statements 6M 2026 (unaudited), p.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AST - Interim financial statements 12M 2025, p.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9">
        <w:r>
          <w:rPr>
            <w:color w:val="2A78D6"/>
            <w:sz w:val="17"/>
          </w:rPr>
          <w:t xml:space="preserve">AST - Interim financial statements 12M 2025,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1">
        <w:r>
          <w:rPr>
            <w:color w:val="2A78D6"/>
            <w:sz w:val="17"/>
          </w:rPr>
          <w:t xml:space="preserve">AST - Annual report 2025 (sustainability report and audited financial statements), p. 8, 11, 2026-04-24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2">
        <w:r>
          <w:rPr>
            <w:color w:val="2A78D6"/>
            <w:sz w:val="17"/>
          </w:rPr>
          <w:t xml:space="preserve">AST - Annual report 2025 (sustainability report and audited financial statements), p. 15-16, 2026-04-24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3">
        <w:r>
          <w:rPr>
            <w:color w:val="2A78D6"/>
            <w:sz w:val="17"/>
          </w:rPr>
          <w:t xml:space="preserve">AST - Interim financial statements 12M 2025,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4">
        <w:r>
          <w:rPr>
            <w:color w:val="2A78D6"/>
            <w:sz w:val="17"/>
          </w:rPr>
          <w:t xml:space="preserve">AST - Condensed interim financial statements 6M 2026 (unaudited), p.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2">
        <w:r>
          <w:rPr>
            <w:color w:val="2A78D6"/>
            <w:sz w:val="17"/>
          </w:rPr>
          <w:t xml:space="preserve">AST - Annual report 2025 (sustainability report and audited financial statements), p. 15, 2026-04-24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5">
        <w:r>
          <w:rPr>
            <w:color w:val="2A78D6"/>
            <w:sz w:val="17"/>
          </w:rPr>
          <w:t xml:space="preserve">AST - Interim financial statements 12M 2025, p. 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6">
        <w:r>
          <w:rPr>
            <w:color w:val="2A78D6"/>
            <w:sz w:val="17"/>
          </w:rPr>
          <w:t xml:space="preserve">Nasdaq Baltic - AST 0.5% green bond LV0000802528,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7">
        <w:r>
          <w:rPr>
            <w:color w:val="2A78D6"/>
            <w:sz w:val="17"/>
          </w:rPr>
          <w:t xml:space="preserve">AST - Condensed interim financial statements 6M 2026 (unaudited),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8">
        <w:r>
          <w:rPr>
            <w:color w:val="2A78D6"/>
            <w:sz w:val="17"/>
          </w:rPr>
          <w:t xml:space="preserve">AST - Condensed interim financial statements 6M 2026 (unaudited), p. 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9">
        <w:r>
          <w:rPr>
            <w:color w:val="2A78D6"/>
            <w:sz w:val="17"/>
          </w:rPr>
          <w:t xml:space="preserve">AST - Condensed interim financial statements 6M 2026 (unaudited), p. 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30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31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2">
        <w:r>
          <w:rPr>
            <w:color w:val="2A78D6"/>
            <w:sz w:val="17"/>
          </w:rPr>
          <w:t xml:space="preserve">AST - Condensed interim financial statements 6M 2026 (unaudited), p. 5,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3">
        <w:r>
          <w:rPr>
            <w:color w:val="2A78D6"/>
            <w:sz w:val="17"/>
          </w:rPr>
          <w:t xml:space="preserve">AST - Annual report 2025 (sustainability report and audited financial statements), p. 18, 2026-04-24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AST - Condensed interim financial statements 6M 2026 (unaudited),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4">
        <w:r>
          <w:rPr>
            <w:color w:val="2A78D6"/>
            <w:sz w:val="17"/>
          </w:rPr>
          <w:t xml:space="preserve">SEB Sector Policy on Electricity &amp; Renewable Energy (2026-04-23), p. 6-8,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21">
        <w:r>
          <w:rPr>
            <w:color w:val="2A78D6"/>
            <w:sz w:val="17"/>
          </w:rPr>
          <w:t xml:space="preserve">AST - Annual report 2025 (sustainability report and audited financial statements), p. 8-9, 15, 2026-04-24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21">
        <w:r>
          <w:rPr>
            <w:color w:val="2A78D6"/>
            <w:sz w:val="17"/>
          </w:rPr>
          <w:t xml:space="preserve">AST - Annual report 2025 (sustainability report and audited financial statements), p. 8, 24, 2026-04-24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Augstsprieguma tīkls (AST)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Augstsprieguma tīkls (AST)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Augstsprieguma tīkls (AST)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ast/2025_q4_en_con.pdf#page=14" TargetMode="External"/><Relationship Id="rId13" Type="http://schemas.openxmlformats.org/officeDocument/2006/relationships/hyperlink" Target="https://nasdaqbaltic.com/market/upload/reports/ast/2026_q2_en_con.pdf#page=11" TargetMode="External"/><Relationship Id="rId14" Type="http://schemas.openxmlformats.org/officeDocument/2006/relationships/hyperlink" Target="https://nasdaqbaltic.com/statistics/en/instrument/LV0000802528/reports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nasdaqbaltic.com/market/upload/reports/ast/2026_q2_en_con.pdf#page=3" TargetMode="External"/><Relationship Id="rId17" Type="http://schemas.openxmlformats.org/officeDocument/2006/relationships/hyperlink" Target="https://nasdaqbaltic.com/market/upload/reports/ast/2026_q2_en_con.pdf#page=4" TargetMode="External"/><Relationship Id="rId18" Type="http://schemas.openxmlformats.org/officeDocument/2006/relationships/hyperlink" Target="https://nasdaqbaltic.com/market/upload/reports/ast/2025_q4_en_con.pdf#page=13" TargetMode="External"/><Relationship Id="rId19" Type="http://schemas.openxmlformats.org/officeDocument/2006/relationships/hyperlink" Target="https://nasdaqbaltic.com/market/upload/reports/ast/2025_q4_en_con.pdf#page=5" TargetMode="External"/><Relationship Id="rId20" Type="http://schemas.openxmlformats.org/officeDocument/2006/relationships/image" Target="media/image2.png"/><Relationship Id="rId21" Type="http://schemas.openxmlformats.org/officeDocument/2006/relationships/hyperlink" Target="https://nasdaqbaltic.com/market/upload/reports/ast/2025_ar_en_con.pdf#page=8" TargetMode="External"/><Relationship Id="rId22" Type="http://schemas.openxmlformats.org/officeDocument/2006/relationships/hyperlink" Target="https://nasdaqbaltic.com/market/upload/reports/ast/2025_ar_en_con.pdf#page=15" TargetMode="External"/><Relationship Id="rId23" Type="http://schemas.openxmlformats.org/officeDocument/2006/relationships/hyperlink" Target="https://nasdaqbaltic.com/market/upload/reports/ast/2025_q4_en_con.pdf#page=8" TargetMode="External"/><Relationship Id="rId24" Type="http://schemas.openxmlformats.org/officeDocument/2006/relationships/hyperlink" Target="https://nasdaqbaltic.com/market/upload/reports/ast/2026_q2_en_con.pdf#page=22" TargetMode="External"/><Relationship Id="rId25" Type="http://schemas.openxmlformats.org/officeDocument/2006/relationships/hyperlink" Target="https://nasdaqbaltic.com/market/upload/reports/ast/2025_q4_en_con.pdf#page=7" TargetMode="External"/><Relationship Id="rId26" Type="http://schemas.openxmlformats.org/officeDocument/2006/relationships/hyperlink" Target="https://nasdaqbaltic.com/statistics/en/instrument/LV0000802528/security?date=2026-10-19" TargetMode="External"/><Relationship Id="rId27" Type="http://schemas.openxmlformats.org/officeDocument/2006/relationships/hyperlink" Target="https://nasdaqbaltic.com/market/upload/reports/ast/2026_q2_en_con.pdf#page=8" TargetMode="External"/><Relationship Id="rId28" Type="http://schemas.openxmlformats.org/officeDocument/2006/relationships/hyperlink" Target="https://nasdaqbaltic.com/market/upload/reports/ast/2026_q2_en_con.pdf#page=9" TargetMode="External"/><Relationship Id="rId29" Type="http://schemas.openxmlformats.org/officeDocument/2006/relationships/hyperlink" Target="https://nasdaqbaltic.com/market/upload/reports/ast/2026_q2_en_con.pdf#page=6" TargetMode="External"/><Relationship Id="rId30" Type="http://schemas.openxmlformats.org/officeDocument/2006/relationships/hyperlink" Target="https://sanctionssearch.ofac.treas.gov/" TargetMode="External"/><Relationship Id="rId31" Type="http://schemas.openxmlformats.org/officeDocument/2006/relationships/hyperlink" Target="https://www.sanctionsmap.eu/#/main" TargetMode="External"/><Relationship Id="rId32" Type="http://schemas.openxmlformats.org/officeDocument/2006/relationships/hyperlink" Target="https://nasdaqbaltic.com/market/upload/reports/ast/2026_q2_en_con.pdf#page=5" TargetMode="External"/><Relationship Id="rId33" Type="http://schemas.openxmlformats.org/officeDocument/2006/relationships/hyperlink" Target="https://nasdaqbaltic.com/market/upload/reports/ast/2025_ar_en_con.pdf#page=18" TargetMode="External"/><Relationship Id="rId34" Type="http://schemas.openxmlformats.org/officeDocument/2006/relationships/hyperlink" Target="https://webapp.sebgroup.com/mb/mblib.nsf/dld/60D2454400789893C12587D70030AFC1?open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