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3,551 %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4,042 %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7,375 %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– mūsų skaičiavimas)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Palūkanos ir konkurencija:</w:t>
      </w:r>
      <w:r>
        <w:rPr>
          <w:b w:val="0"/>
        </w:rPr>
        <w:t xml:space="preserve"> grynosios palūkanų pajamos +1,6 % iki 111,2 mln. EUR dėl didesnių indėlių ir indėlių maržų kylant bazinėms palūkanoms, bet paskolų maržas mažino konkurencija; NIM 2,75 % (prieš metus 2,95 %)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išlaidos +3,2 % iki 90,5 mln. EUR, iš jų IT migracijos 20,3 mln. EUR; personalo išlaidos +16,6 % perimant veiklas ir samdant programuotojus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Dauguma sektoriaus mokesčių baigėsi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regiono perspektyvą vertina teigiamai ir IV ketv. planuoja 200 mln. EUR CET1 kapitalo sumažinimą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2026-07-26 – 2026-10-24: 34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 clears Luminor takeover involving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dar 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667085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 backs Latvian road builder SMA with €3M financing package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667085"/>
                <w:sz w:val="15"/>
              </w:rPr>
              <w:t xml:space="preserve">   Infoerdve.lt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34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2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3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4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tAFBVV95cUxPc2ttQmEzc1dtRmNJRzUxVXB3OWE5ekxQbHh6SVFZWlpfYU1nRmZCVFhKeTZlOXFkOUZmN2JyNlpxNU50dXlhQkxMcE1kYUplaHNfSU92SEEwR0E2VXJIZGZwM2hjNjlMQkF2cXYzbW5INUZKTFhSQW5tcDVkWHNKOER3dE44M2V5S21iYjg1MUJ5X29mTVVZTklhZDd2WUtCdXlmWldvWUs2eGNTQUdqUktSTUE?oc=5" TargetMode="External"/><Relationship Id="rId39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40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1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2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3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4" Type="http://schemas.openxmlformats.org/officeDocument/2006/relationships/hyperlink" Target="https://news.google.com/rss/articles/CBMinwFBVV95cUxOVk1fT05TX1cxM0NBQmRWdW80X04yb1BuSW1ocFNRS2VBd2dtX2R4Y3IxdVMxdXhMV3pXQUd2aGlvU21NSmdZa0VES0ZfSVlBVzU2d09vcDI4Z0ZLQzd3eldJS2NkSngteXFLdDJNZzQwcGJhanZmZXJIMnFCZlM5Y0FQT0N5Unhldlk3OG5ZZmJveG1kNE9zT0lNcEhWN1U?oc=5" TargetMode="External"/><Relationship Id="rId45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6" Type="http://schemas.openxmlformats.org/officeDocument/2006/relationships/hyperlink" Target="https://luminor.lv/sites/default/files/docs/finansu_parskati/luminor_bank_annual_report_2025-lv.pdf#page=19" TargetMode="External"/><Relationship Id="rId47" Type="http://schemas.openxmlformats.org/officeDocument/2006/relationships/hyperlink" Target="https://luminor.lv/sites/default/files/docs/finansu_parskati/luminor_bank_annual_report_2025-lv.pdf#page=16" TargetMode="External"/><Relationship Id="rId48" Type="http://schemas.openxmlformats.org/officeDocument/2006/relationships/hyperlink" Target="https://sanctionssearch.ofac.treas.gov/" TargetMode="External"/><Relationship Id="rId49" Type="http://schemas.openxmlformats.org/officeDocument/2006/relationships/hyperlink" Target="https://www.sanctionsmap.eu/#/main" TargetMode="External"/><Relationship Id="rId50" Type="http://schemas.openxmlformats.org/officeDocument/2006/relationships/hyperlink" Target="https://luminor.lv/sites/default/files/docs/finansu_parskati/luminor_bank_annual_report_2025-lv.pdf#page=22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luminor.lv/sites/default/files/docs/finansu_parskati/luminor_bank_annual_report_2025-lv.pdf#page=18" TargetMode="External"/><Relationship Id="rId53" Type="http://schemas.openxmlformats.org/officeDocument/2006/relationships/hyperlink" Target="https://luminor.lv/sites/default/files/docs/finansu_parskati/luminor_bank_annual_report_2025-lv.pdf#page=23" TargetMode="External"/><Relationship Id="rId54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