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Verta stebėti.</w:t>
            </w:r>
            <w:r>
              <w:rPr>
                <w:b w:val="0"/>
                <w:color w:val="1B2430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– mūsų skaičiavimas)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Kuras ir geopolitika:</w:t>
      </w:r>
      <w:r>
        <w:rPr>
          <w:b w:val="0"/>
        </w:rPr>
        <w:t xml:space="preserve"> veiklos pelnas –25,7 % iki 13,6 mln. EUR daugiausia dėl brangesnio kuro – kuro sąnaudos +47,6 % (+1,4 mln. EUR), sunkesnės ledo sąlygos didino keltų kuro sąnaudas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Bendrovė tai sieja su JAV ir Irano konfliktu bei Hormuzo sąsiaurio blokada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Kroviniai ir keleiviai:</w:t>
      </w:r>
      <w:r>
        <w:rPr>
          <w:b w:val="0"/>
        </w:rPr>
        <w:t xml:space="preserve"> krovinių –5,0 % iki 6,5 mln. t daugiausia dėl skystųjų krovinių (–33,8 %)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Rusijos karinė veikla Ukrainoje daugiausia veikia krovinių verslą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Keleivių –2,0 % dėl planinio „Finlandia“ keltų remonto, kruizinių keleivių +47,8 %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augo</w:t>
      </w:r>
      <w:r>
        <w:rPr>
          <w:b w:val="0"/>
        </w:rPr>
        <w:t xml:space="preserve"> 2,4 % iki 59,3 mln. EUR dėl daugiau ledlaužio „Botnica“ frachto dienų ir didesnių elektros bei keltų paslaugų pajamų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Perspektyvoje vadovybė mato daugiau kruizinių laivų, naujas ro-ro ir konteinerių linijas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2026-07-26 – 2026-10-24: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(mūsų skaičiavimas)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(mūsų skaičiavimas)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(mūsų skaičiavimas)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9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29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www.ts.ee/wp-content/uploads/2026/04/Sustainability_Report_2025.pdf" TargetMode="External"/><Relationship Id="rId27" Type="http://schemas.openxmlformats.org/officeDocument/2006/relationships/hyperlink" Target="https://www.ts.ee/wp-content/uploads/2026/04/Sustainability_Report_2025.pdf#page=22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webapp.sebgroup.com/mb/mblib.nsf/dld/C882785365792AC9C12587D700312ACF?opendocument" TargetMode="External"/><Relationship Id="rId30" Type="http://schemas.openxmlformats.org/officeDocument/2006/relationships/hyperlink" Target="https://webapp.sebgroup.com/mb/mblib.nsf/dld/B1113F0C7B3136E4C12587D70030204B?opendocument" TargetMode="External"/><Relationship Id="rId31" Type="http://schemas.openxmlformats.org/officeDocument/2006/relationships/hyperlink" Target="https://www.ts.ee/wp-content/uploads/2026/04/Sustainability_Report_2025.pdf#page=18" TargetMode="External"/><Relationship Id="rId32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