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Water supply and wastewater utility (Riga)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4.0%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19.7m (+25%), net debt / EBITDA 2.6x, equity ratio 71%, loan covenants met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revenue +14.7%, mainly due to new water tariffs from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Treated wastewater -8.9% on lower rainfall, water sold +0.9%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debt:</w:t>
      </w:r>
      <w:r>
        <w:rPr>
          <w:b w:val="0"/>
        </w:rPr>
        <w:t xml:space="preserve"> a record EUR 24.1m of investment was debt-financed, lifting net debt/EBITDA to 2.6x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may be affected by inflation and energy prices; the Bank of Latvia forecasts 3.6% inflation in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issue:</w:t>
      </w:r>
      <w:r>
        <w:rPr>
          <w:b w:val="0"/>
        </w:rPr>
        <w:t xml:space="preserve"> up to EUR 40m of green bonds planned for Q4 2026, subject to market conditions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2026-07-26 – 2026-10-24: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