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2,826 %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3,119 %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VIK 100 % priklauso valstybei, obligacijų programai Fitch suteikė A+ reitingą, susietą su valstybės garantija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pelnas 7,1 mln. EUR, nuosavo kapitalo dalis 70 % (mūsų skaičiavimas)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Turtas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11,1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9 012,5 %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gynybos investuotojas:</w:t>
      </w:r>
      <w:r>
        <w:rPr>
          <w:b w:val="0"/>
        </w:rPr>
        <w:t xml:space="preserve"> VIK finansuoja Lietuvos gynybos pramonę ir kitus strateginius sektorius; pagrindinis projektas – Rheinmetall amunicijos gamykla Baisogaloje (VIK investicija iki 71,05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Fitch obligacijų programai suteikė A+ – aukščiausią iki šiol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Pinigai grįžta iš Verslo paramos fondo:</w:t>
      </w:r>
      <w:r>
        <w:rPr>
          <w:b w:val="0"/>
        </w:rPr>
        <w:t xml:space="preserve"> iš 200 mln. EUR grąžinta 120,5 mln. EUR (60 %), likusieji – iki 2028 m. vidurio; 2026-07-02 gauta dar 22 mln. EUR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iš 125 mln. EUR išleistų obligacijų 75 mln. EUR jau išpirkta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2,826 %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3,119 %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51,8 %ᶜ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59,0 %ᶜ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70,1 %ᶜ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VIK įsigijo 49 % EPSO-G Invest (36,3 mln. EUR), kuri valdo 48 % Rheinmetall Defence Lietuva; gamyklos statyba pradėta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 m. pasirašytas memorandumas su Rheinmetall Landsysteme ir KNDS Deutschland dėl ~50 mln. EUR techninės priežiūros centro Kauno LEZ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2026-02 akcininkas nusprendė perduoti VIK akcijas valstybės valdomai ILTE (reikia Vyriausybės pritarimo)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Turtas 169,4 mln. EUR, nuosavas kapitalas 118,9 mln. EUR; I pusm. pelnas 7,1 mln. EUR, daugiausia dėl 8,0 mln. EUR tikrosios vertės padidėjimo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3,8 mln. EUR (2024 m. – 8,1 mln.); išleistų obligacijų likutis 2026-06-30 – apie 50,6 mln. EUR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Grąžinti visą 200 mln. EUR Verslo paramos fondo investiciją iki 2028 m. vidurio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Grąžinta 120,5 mln. EUR (60 %)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Investuoti iki 71,05 mln. EUR į Rheinmetall Defence Lietuva projektą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investuota 36 mln. EUR; 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finansuojama ir 25 mln. EUR gynybos obligacijomis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2,826 % obligacija, išpirkimas 2027-06-30 (Nasdaq Vilnius nuo 2022-07-04), ir 3,119 % gynybos obligacija – 25 mln. EUR, išleista 2025-09-24, išpirkimas 2029-09-24; jos lėšos visos skirtos Rheinmetall projektui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rizika artima valstybės:</w:t>
      </w:r>
      <w:r>
        <w:rPr>
          <w:b w:val="0"/>
        </w:rPr>
        <w:t xml:space="preserve"> obligacijų įsipareigojimams suteikta valstybės garantija, todėl Fitch A+ reitingas susietas su Lietuvos reitingu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rizika maža – valstybės nuosavybė ir garantija, mažėjanti skola, grįžtančios fondo lėšos.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Gynybos prioritetas:</w:t>
      </w:r>
      <w:r>
        <w:rPr>
          <w:b w:val="0"/>
        </w:rPr>
        <w:t xml:space="preserve"> pasikeitus geopolitinei aplinkai, investicijų prioritetas teikiamas gynybai ir saugumui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gali investuoti iki 71,05 mln. EUR į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Pelną lėmė vertinimas:</w:t>
      </w:r>
      <w:r>
        <w:rPr>
          <w:b w:val="0"/>
        </w:rPr>
        <w:t xml:space="preserve"> grynasis pelnas 7,1 mln. EUR (prieš metus –0,1 mln.) dėl ilgalaikio finansinio turto vertės padidėjimo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Finansavimas:</w:t>
      </w:r>
      <w:r>
        <w:rPr>
          <w:b w:val="0"/>
        </w:rPr>
        <w:t xml:space="preserve"> Fitch obligacijų programai suteikė A+ – aukščiausią iki šiol; Vyriausybė 2026 m. skolinimosi limitą patvirtino 153 mln. EUR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iki 2028 m. vidurio grąžos iš PVF ir obligacijų išpirkimo lėšos taps svarbiu finansavimo šaltiniu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2026-07-26 – 2026-10-24: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Kontroversiškų ar branduolinių ginklų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investuoja į įprastinę gynybos pramonę (Rheinmetall amunicijos gamykla Lietuvoje)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ginklų ir gynybos politika riboja tik kontroversiškus ginklus, branduolinius ginklus ne NATO šalyse, civilinius pusiau automatinius ginklus ir nelicencijuotą prekybą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Socialinė nauda – šalies saugumas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finansuoja Lietuvos gynybos ir saugumo pramonę, pvz., amunicijos gamyklą Baisogaloje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Investuodami prisidedame prie šalies saugumo – tai priskiriame ESG „S“ (socialinei) daliai.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Pati VIK nurodo, kad tvarumas nėra jos pagrindinis tikslas, o prioritetas – gynyba ir saugumas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ar taksonomijos tikslų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Žalieji pirkimai per CPO LT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Taikomas Nasdaq Vilnius valdysenos kodeksas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ir ginklų bei gynybos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Investicijos į licencijuotą gynybos gamybą NATO šalyje, be kontroversiškų ar branduolinių ginklų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Valdysenos kodeksas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politikos viešai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įmonė su aiškiu gynybos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Nuosavų patalpų ir turto VIK neturi, todėl tiesioginis poveikis aplinkai nedidelis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Fondui svarbiausias PAI rodiklis – ginklų sektoriaus poveikis: tik įprastiniai ginklai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Investuoja į įprastinę gynybos pramonę (leidžiama pagal SEB politiką); tvarumas nėra prioritetas.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nasdaqbaltic.com/market/upload/reports/vika/2026_q2_en_esef.pdf#page=13" TargetMode="External"/><Relationship Id="rId34" Type="http://schemas.openxmlformats.org/officeDocument/2006/relationships/hyperlink" Target="https://nasdaqbaltic.com/market/upload/reports/vika/2026_q2_en_esef.pdf#page=14" TargetMode="External"/><Relationship Id="rId35" Type="http://schemas.openxmlformats.org/officeDocument/2006/relationships/hyperlink" Target="https://nasdaqbaltic.com/market/upload/reports/vika/2026_q2_en_esef.pdf#page=35" TargetMode="External"/><Relationship Id="rId36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