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Atsinaujinančios energetikos investicijos (AEI)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credit rating found in the reports)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Covenants were met at 2026-06-30, with an equity ratio of 54.5% (floor 50%)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-5.13 EUR m</w:t>
            </w:r>
          </w:p>
          <w:p>
            <w:r>
              <w:rPr>
                <w:color w:val="5F6B7A"/>
                <w:sz w:val="16"/>
              </w:rPr>
              <w:t>▼ 26.4 %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54.5%</w:t>
            </w:r>
          </w:p>
          <w:p>
            <w:r>
              <w:rPr>
                <w:color w:val="5F6B7A"/>
                <w:sz w:val="16"/>
              </w:rPr>
              <w:t>▲ 3.7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63.5 EUR m</w:t>
            </w:r>
          </w:p>
          <w:p>
            <w:r>
              <w:rPr>
                <w:color w:val="5F6B7A"/>
                <w:sz w:val="16"/>
              </w:rPr>
              <w:t>▼ 16.6 %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Installed green capacity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317.9 MW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0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MW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At 2026-06-30 total assets EUR 153.6m, equity EUR 83.7m, liabilities EUR 69.9m; cash EUR 1.7m (excluding EUR 2.6m restricted)</w:t>
      </w:r>
      <w:hyperlink r:id="rId19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Bonds carrying amount EUR 59.0m, loans EUR 6.2m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Redeemed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process started, no deals announced yet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the sales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Construction ongoing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Deadline passed, the deal is not complete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Covenants:</w:t>
      </w:r>
      <w:r>
        <w:rPr>
          <w:b w:val="0"/>
        </w:rPr>
        <w:t xml:space="preserve"> equity ratio ≥50% (54.5%, calculated by the tool), leverage ≤75%, minimum liquidity EUR 1.5m; met at 2026-06-30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Solar, wind and storage projects only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'dark green' fund under SFDR Article 9 investing in renewable energy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All bond issues are green bonds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ESG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financial risk (going concern) is covered in the Investor section.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Electricity &amp; Renewable Energy policy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Projects in the EU/EEA with permits (e.g.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Ekoelektra has all building permits)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 from an ESG view: a renewable energy fund.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Installed capacity (317.9 MW) and production are reported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An SFDR Article 9 renewable energy fund; the risk is financial, not ESG.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Atsinaujinančios energetikos investicijos (AEI)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ei/2026_q2_en_con_esef.pdf#page=32" TargetMode="External"/><Relationship Id="rId11" Type="http://schemas.openxmlformats.org/officeDocument/2006/relationships/hyperlink" Target="https://nasdaqbaltic.com/market/upload/reports/aei/2026_q2_en_con_esef.pdf#page=21" TargetMode="External"/><Relationship Id="rId12" Type="http://schemas.openxmlformats.org/officeDocument/2006/relationships/hyperlink" Target="https://nasdaqbaltic.com/market/upload/reports/aei/2026_q2_en_con_esef.pdf#page=24" TargetMode="External"/><Relationship Id="rId13" Type="http://schemas.openxmlformats.org/officeDocument/2006/relationships/hyperlink" Target="https://nasdaqbaltic.com/market/upload/reports/aei/2026_q2_en.pdf#page=1" TargetMode="External"/><Relationship Id="rId14" Type="http://schemas.openxmlformats.org/officeDocument/2006/relationships/hyperlink" Target="https://nasdaqbaltic.com/market/upload/reports/aei/2026_q2_en_con_esef.pdf#page=4" TargetMode="External"/><Relationship Id="rId15" Type="http://schemas.openxmlformats.org/officeDocument/2006/relationships/hyperlink" Target="https://nasdaqbaltic.com/market/upload/reports/aei/2025_q4_en_con.pdf#page=4" TargetMode="External"/><Relationship Id="rId16" Type="http://schemas.openxmlformats.org/officeDocument/2006/relationships/hyperlink" Target="https://nasdaqbaltic.com/market/upload/reports/aei/2026_q2_en_con_esef.pdf#page=19" TargetMode="External"/><Relationship Id="rId17" Type="http://schemas.openxmlformats.org/officeDocument/2006/relationships/hyperlink" Target="https://nasdaqbaltic.com/market/upload/reports/aei/2025_q4_en_con.pdf#page=24" TargetMode="External"/><Relationship Id="rId18" Type="http://schemas.openxmlformats.org/officeDocument/2006/relationships/hyperlink" Target="https://nasdaqbaltic.com/market/upload/reports/aei/2025_q4_en_con.pdf#page=3" TargetMode="External"/><Relationship Id="rId19" Type="http://schemas.openxmlformats.org/officeDocument/2006/relationships/hyperlink" Target="https://nasdaqbaltic.com/market/upload/reports/aei/2026_q2_en_con_esef.pdf#page=3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nasdaqbaltic.com/market/upload/reports/aei/2026_q2_en_con_esef.pdf#page=9" TargetMode="External"/><Relationship Id="rId22" Type="http://schemas.openxmlformats.org/officeDocument/2006/relationships/hyperlink" Target="https://nasdaqbaltic.com/market/upload/reports/aei/2026_q2_en_con_esef.pdf#page=17" TargetMode="External"/><Relationship Id="rId23" Type="http://schemas.openxmlformats.org/officeDocument/2006/relationships/hyperlink" Target="https://nasdaqbaltic.com/market/upload/reports/aei/2026_q2_en_con_esef.pdf#page=33" TargetMode="External"/><Relationship Id="rId24" Type="http://schemas.openxmlformats.org/officeDocument/2006/relationships/hyperlink" Target="https://nasdaqbaltic.com/market/upload/reports/aei/2025_q4_en_con.pdf#page=17" TargetMode="External"/><Relationship Id="rId2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